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9D" w:rsidRPr="004420E3" w:rsidRDefault="007C5724" w:rsidP="007C5724">
      <w:pPr>
        <w:spacing w:line="360" w:lineRule="auto"/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关于</w:t>
      </w:r>
      <w:r w:rsidR="001D314A">
        <w:rPr>
          <w:rFonts w:ascii="宋体" w:eastAsia="宋体" w:hAnsi="宋体" w:hint="eastAsia"/>
          <w:b/>
          <w:sz w:val="28"/>
          <w:szCs w:val="28"/>
        </w:rPr>
        <w:t>我校与美国陶森大学双学位</w:t>
      </w:r>
      <w:r w:rsidR="00304B88">
        <w:rPr>
          <w:rFonts w:ascii="宋体" w:eastAsia="宋体" w:hAnsi="宋体" w:hint="eastAsia"/>
          <w:b/>
          <w:sz w:val="28"/>
          <w:szCs w:val="28"/>
        </w:rPr>
        <w:t>项目课程对接认定方案</w:t>
      </w:r>
    </w:p>
    <w:p w:rsidR="00CC1D9F" w:rsidRDefault="00C9438F" w:rsidP="00CB2E8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018</w:t>
      </w:r>
      <w:r>
        <w:rPr>
          <w:rFonts w:ascii="宋体" w:eastAsia="宋体" w:hAnsi="宋体" w:hint="eastAsia"/>
          <w:sz w:val="28"/>
          <w:szCs w:val="28"/>
        </w:rPr>
        <w:t>年6月，</w:t>
      </w:r>
      <w:r w:rsidR="007C5724">
        <w:rPr>
          <w:rFonts w:ascii="宋体" w:eastAsia="宋体" w:hAnsi="宋体" w:hint="eastAsia"/>
          <w:sz w:val="28"/>
          <w:szCs w:val="28"/>
        </w:rPr>
        <w:t>美国陶森大学与上海立信会计金融学院</w:t>
      </w:r>
      <w:r>
        <w:rPr>
          <w:rFonts w:ascii="宋体" w:eastAsia="宋体" w:hAnsi="宋体" w:hint="eastAsia"/>
          <w:sz w:val="28"/>
          <w:szCs w:val="28"/>
        </w:rPr>
        <w:t>共同签署了</w:t>
      </w:r>
      <w:r w:rsidR="007C5724" w:rsidRPr="004420E3">
        <w:rPr>
          <w:rFonts w:ascii="宋体" w:eastAsia="宋体" w:hAnsi="宋体" w:hint="eastAsia"/>
          <w:sz w:val="28"/>
          <w:szCs w:val="28"/>
        </w:rPr>
        <w:t xml:space="preserve"> “2</w:t>
      </w:r>
      <w:r w:rsidR="007C5724" w:rsidRPr="004420E3">
        <w:rPr>
          <w:rFonts w:ascii="宋体" w:eastAsia="宋体" w:hAnsi="宋体"/>
          <w:sz w:val="28"/>
          <w:szCs w:val="28"/>
        </w:rPr>
        <w:t>+2</w:t>
      </w:r>
      <w:r w:rsidR="007C5724" w:rsidRPr="004420E3">
        <w:rPr>
          <w:rFonts w:ascii="宋体" w:eastAsia="宋体" w:hAnsi="宋体" w:hint="eastAsia"/>
          <w:sz w:val="28"/>
          <w:szCs w:val="28"/>
        </w:rPr>
        <w:t>”精算与风险管理</w:t>
      </w:r>
      <w:r w:rsidR="00485A45">
        <w:rPr>
          <w:rFonts w:ascii="宋体" w:eastAsia="宋体" w:hAnsi="宋体" w:hint="eastAsia"/>
          <w:sz w:val="28"/>
          <w:szCs w:val="28"/>
        </w:rPr>
        <w:t>双学位</w:t>
      </w:r>
      <w:r w:rsidR="007C5724" w:rsidRPr="004420E3">
        <w:rPr>
          <w:rFonts w:ascii="宋体" w:eastAsia="宋体" w:hAnsi="宋体" w:hint="eastAsia"/>
          <w:sz w:val="28"/>
          <w:szCs w:val="28"/>
        </w:rPr>
        <w:t>项目</w:t>
      </w:r>
      <w:r w:rsidR="00F73FD0">
        <w:rPr>
          <w:rFonts w:ascii="宋体" w:eastAsia="宋体" w:hAnsi="宋体" w:hint="eastAsia"/>
          <w:sz w:val="28"/>
          <w:szCs w:val="28"/>
        </w:rPr>
        <w:t>（简称为</w:t>
      </w:r>
      <w:r w:rsidR="00F73FD0" w:rsidRPr="004420E3">
        <w:rPr>
          <w:rFonts w:ascii="宋体" w:eastAsia="宋体" w:hAnsi="宋体" w:hint="eastAsia"/>
          <w:sz w:val="28"/>
          <w:szCs w:val="28"/>
        </w:rPr>
        <w:t>“2</w:t>
      </w:r>
      <w:r w:rsidR="00F73FD0" w:rsidRPr="004420E3">
        <w:rPr>
          <w:rFonts w:ascii="宋体" w:eastAsia="宋体" w:hAnsi="宋体"/>
          <w:sz w:val="28"/>
          <w:szCs w:val="28"/>
        </w:rPr>
        <w:t>+2</w:t>
      </w:r>
      <w:r w:rsidR="00F73FD0" w:rsidRPr="004420E3">
        <w:rPr>
          <w:rFonts w:ascii="宋体" w:eastAsia="宋体" w:hAnsi="宋体" w:hint="eastAsia"/>
          <w:sz w:val="28"/>
          <w:szCs w:val="28"/>
        </w:rPr>
        <w:t>”</w:t>
      </w:r>
      <w:r w:rsidR="00F73FD0">
        <w:rPr>
          <w:rFonts w:ascii="宋体" w:eastAsia="宋体" w:hAnsi="宋体" w:hint="eastAsia"/>
          <w:sz w:val="28"/>
          <w:szCs w:val="28"/>
        </w:rPr>
        <w:t>项目）</w:t>
      </w:r>
      <w:r w:rsidR="007C5724" w:rsidRPr="004420E3">
        <w:rPr>
          <w:rFonts w:ascii="宋体" w:eastAsia="宋体" w:hAnsi="宋体" w:hint="eastAsia"/>
          <w:sz w:val="28"/>
          <w:szCs w:val="28"/>
        </w:rPr>
        <w:t>合作协议。</w:t>
      </w:r>
      <w:r w:rsidR="00C10206">
        <w:rPr>
          <w:rFonts w:ascii="宋体" w:eastAsia="宋体" w:hAnsi="宋体" w:hint="eastAsia"/>
          <w:sz w:val="28"/>
          <w:szCs w:val="28"/>
        </w:rPr>
        <w:t>为促进</w:t>
      </w:r>
      <w:r w:rsidR="00C84B96" w:rsidRPr="004420E3">
        <w:rPr>
          <w:rFonts w:ascii="宋体" w:eastAsia="宋体" w:hAnsi="宋体" w:hint="eastAsia"/>
          <w:sz w:val="28"/>
          <w:szCs w:val="28"/>
        </w:rPr>
        <w:t>“2</w:t>
      </w:r>
      <w:r w:rsidR="00C84B96" w:rsidRPr="004420E3">
        <w:rPr>
          <w:rFonts w:ascii="宋体" w:eastAsia="宋体" w:hAnsi="宋体"/>
          <w:sz w:val="28"/>
          <w:szCs w:val="28"/>
        </w:rPr>
        <w:t>+2</w:t>
      </w:r>
      <w:r w:rsidR="00C84B96" w:rsidRPr="004420E3">
        <w:rPr>
          <w:rFonts w:ascii="宋体" w:eastAsia="宋体" w:hAnsi="宋体" w:hint="eastAsia"/>
          <w:sz w:val="28"/>
          <w:szCs w:val="28"/>
        </w:rPr>
        <w:t>”</w:t>
      </w:r>
      <w:r w:rsidR="00C84B96">
        <w:rPr>
          <w:rFonts w:ascii="宋体" w:eastAsia="宋体" w:hAnsi="宋体" w:hint="eastAsia"/>
          <w:sz w:val="28"/>
          <w:szCs w:val="28"/>
        </w:rPr>
        <w:t>项目</w:t>
      </w:r>
      <w:r w:rsidR="00C10206">
        <w:rPr>
          <w:rFonts w:ascii="宋体" w:eastAsia="宋体" w:hAnsi="宋体" w:hint="eastAsia"/>
          <w:sz w:val="28"/>
          <w:szCs w:val="28"/>
        </w:rPr>
        <w:t>的开展，</w:t>
      </w:r>
      <w:r w:rsidR="003A5D7E">
        <w:rPr>
          <w:rFonts w:ascii="宋体" w:eastAsia="宋体" w:hAnsi="宋体" w:hint="eastAsia"/>
          <w:sz w:val="28"/>
          <w:szCs w:val="28"/>
        </w:rPr>
        <w:t>现</w:t>
      </w:r>
      <w:r w:rsidR="00CC1D9F" w:rsidRPr="004420E3">
        <w:rPr>
          <w:rFonts w:ascii="宋体" w:eastAsia="宋体" w:hAnsi="宋体" w:hint="eastAsia"/>
          <w:sz w:val="28"/>
          <w:szCs w:val="28"/>
        </w:rPr>
        <w:t>根据</w:t>
      </w:r>
      <w:r w:rsidR="00DD54C3">
        <w:rPr>
          <w:rFonts w:ascii="宋体" w:eastAsia="宋体" w:hAnsi="宋体" w:hint="eastAsia"/>
          <w:sz w:val="28"/>
          <w:szCs w:val="28"/>
        </w:rPr>
        <w:t>《上海立信会计金融学院学生国（境）外交流学习课程与学分认定管理办法》等文件及</w:t>
      </w:r>
      <w:r w:rsidR="00CC1D9F" w:rsidRPr="004420E3">
        <w:rPr>
          <w:rFonts w:ascii="宋体" w:eastAsia="宋体" w:hAnsi="宋体" w:hint="eastAsia"/>
          <w:sz w:val="28"/>
          <w:szCs w:val="28"/>
        </w:rPr>
        <w:t>培养方案要求，结合</w:t>
      </w:r>
      <w:r w:rsidR="008F1FA0" w:rsidRPr="004420E3">
        <w:rPr>
          <w:rFonts w:ascii="宋体" w:eastAsia="宋体" w:hAnsi="宋体" w:hint="eastAsia"/>
          <w:sz w:val="28"/>
          <w:szCs w:val="28"/>
        </w:rPr>
        <w:t>保险学院</w:t>
      </w:r>
      <w:r w:rsidR="008F1FA0">
        <w:rPr>
          <w:rFonts w:ascii="宋体" w:eastAsia="宋体" w:hAnsi="宋体" w:hint="eastAsia"/>
          <w:sz w:val="28"/>
          <w:szCs w:val="28"/>
        </w:rPr>
        <w:t>精算</w:t>
      </w:r>
      <w:r w:rsidR="002D0057">
        <w:rPr>
          <w:rFonts w:ascii="宋体" w:eastAsia="宋体" w:hAnsi="宋体" w:hint="eastAsia"/>
          <w:sz w:val="28"/>
          <w:szCs w:val="28"/>
        </w:rPr>
        <w:t>专业课程（核心）</w:t>
      </w:r>
      <w:r w:rsidR="008F1FA0">
        <w:rPr>
          <w:rFonts w:ascii="宋体" w:eastAsia="宋体" w:hAnsi="宋体" w:hint="eastAsia"/>
          <w:sz w:val="28"/>
          <w:szCs w:val="28"/>
        </w:rPr>
        <w:t>的设置情况</w:t>
      </w:r>
      <w:r w:rsidR="00CC1D9F" w:rsidRPr="004420E3">
        <w:rPr>
          <w:rFonts w:ascii="宋体" w:eastAsia="宋体" w:hAnsi="宋体" w:hint="eastAsia"/>
          <w:sz w:val="28"/>
          <w:szCs w:val="28"/>
        </w:rPr>
        <w:t>，</w:t>
      </w:r>
      <w:r w:rsidR="00DD54C3">
        <w:rPr>
          <w:rFonts w:ascii="宋体" w:eastAsia="宋体" w:hAnsi="宋体" w:hint="eastAsia"/>
          <w:sz w:val="28"/>
          <w:szCs w:val="28"/>
        </w:rPr>
        <w:t>制定本项目课程</w:t>
      </w:r>
      <w:r w:rsidR="008F1FA0">
        <w:rPr>
          <w:rFonts w:ascii="宋体" w:eastAsia="宋体" w:hAnsi="宋体" w:hint="eastAsia"/>
          <w:sz w:val="28"/>
          <w:szCs w:val="28"/>
        </w:rPr>
        <w:t>对接认定方案</w:t>
      </w:r>
      <w:r w:rsidR="00CC1D9F" w:rsidRPr="004420E3">
        <w:rPr>
          <w:rFonts w:ascii="宋体" w:eastAsia="宋体" w:hAnsi="宋体" w:hint="eastAsia"/>
          <w:sz w:val="28"/>
          <w:szCs w:val="28"/>
        </w:rPr>
        <w:t>。</w:t>
      </w:r>
    </w:p>
    <w:p w:rsidR="00DA5407" w:rsidRDefault="00DA5407" w:rsidP="002E48FA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合作项目背景</w:t>
      </w:r>
      <w:r w:rsidR="00217CD5">
        <w:rPr>
          <w:rFonts w:ascii="宋体" w:eastAsia="宋体" w:hAnsi="宋体" w:hint="eastAsia"/>
          <w:b/>
          <w:sz w:val="28"/>
          <w:szCs w:val="28"/>
        </w:rPr>
        <w:t>简介</w:t>
      </w:r>
    </w:p>
    <w:p w:rsidR="00AB0A7A" w:rsidRDefault="00315241" w:rsidP="00DA540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10E3F">
        <w:rPr>
          <w:rFonts w:ascii="宋体" w:eastAsia="宋体" w:hAnsi="宋体" w:hint="eastAsia"/>
          <w:sz w:val="28"/>
          <w:szCs w:val="28"/>
        </w:rPr>
        <w:t>陶森大学</w:t>
      </w:r>
      <w:r w:rsidR="00EA7971">
        <w:rPr>
          <w:rFonts w:ascii="宋体" w:eastAsia="宋体" w:hAnsi="宋体" w:hint="eastAsia"/>
          <w:sz w:val="28"/>
          <w:szCs w:val="28"/>
        </w:rPr>
        <w:t>，地处美国马里兰州，</w:t>
      </w:r>
      <w:r>
        <w:rPr>
          <w:rFonts w:ascii="宋体" w:eastAsia="宋体" w:hAnsi="宋体" w:hint="eastAsia"/>
          <w:sz w:val="28"/>
          <w:szCs w:val="28"/>
        </w:rPr>
        <w:t>是北美</w:t>
      </w:r>
      <w:r w:rsidRPr="00910E3F">
        <w:rPr>
          <w:rFonts w:ascii="宋体" w:eastAsia="宋体" w:hAnsi="宋体" w:hint="eastAsia"/>
          <w:sz w:val="28"/>
          <w:szCs w:val="28"/>
        </w:rPr>
        <w:t>精算师协会</w:t>
      </w:r>
      <w:r>
        <w:rPr>
          <w:rFonts w:ascii="宋体" w:eastAsia="宋体" w:hAnsi="宋体" w:hint="eastAsia"/>
          <w:sz w:val="28"/>
          <w:szCs w:val="28"/>
        </w:rPr>
        <w:t>（SOA）认定的</w:t>
      </w:r>
      <w:r w:rsidRPr="00910E3F">
        <w:rPr>
          <w:rFonts w:ascii="宋体" w:eastAsia="宋体" w:hAnsi="宋体"/>
          <w:sz w:val="28"/>
          <w:szCs w:val="28"/>
        </w:rPr>
        <w:t>精算卓越中心（CAE）</w:t>
      </w:r>
      <w:r>
        <w:rPr>
          <w:rStyle w:val="a7"/>
          <w:rFonts w:ascii="宋体" w:eastAsia="宋体" w:hAnsi="宋体"/>
          <w:sz w:val="28"/>
          <w:szCs w:val="28"/>
        </w:rPr>
        <w:footnoteReference w:id="2"/>
      </w:r>
      <w:r>
        <w:rPr>
          <w:rFonts w:ascii="宋体" w:eastAsia="宋体" w:hAnsi="宋体" w:hint="eastAsia"/>
          <w:sz w:val="28"/>
          <w:szCs w:val="28"/>
        </w:rPr>
        <w:t>之一</w:t>
      </w:r>
      <w:r w:rsidR="008375ED"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</w:rPr>
        <w:t>这意味着，陶森大学提供的“</w:t>
      </w:r>
      <w:r w:rsidRPr="00910E3F">
        <w:rPr>
          <w:rFonts w:ascii="宋体" w:eastAsia="宋体" w:hAnsi="宋体" w:hint="eastAsia"/>
          <w:sz w:val="28"/>
          <w:szCs w:val="28"/>
        </w:rPr>
        <w:t>精算学和风险管理专业</w:t>
      </w:r>
      <w:r>
        <w:rPr>
          <w:rFonts w:ascii="宋体" w:eastAsia="宋体" w:hAnsi="宋体" w:hint="eastAsia"/>
          <w:sz w:val="28"/>
          <w:szCs w:val="28"/>
        </w:rPr>
        <w:t>”</w:t>
      </w:r>
      <w:r w:rsidRPr="00910E3F">
        <w:rPr>
          <w:rFonts w:ascii="宋体" w:eastAsia="宋体" w:hAnsi="宋体" w:hint="eastAsia"/>
          <w:sz w:val="28"/>
          <w:szCs w:val="28"/>
        </w:rPr>
        <w:t>学位</w:t>
      </w:r>
      <w:r>
        <w:rPr>
          <w:rFonts w:ascii="宋体" w:eastAsia="宋体" w:hAnsi="宋体" w:hint="eastAsia"/>
          <w:sz w:val="28"/>
          <w:szCs w:val="28"/>
        </w:rPr>
        <w:t>、</w:t>
      </w:r>
      <w:r w:rsidRPr="00910E3F">
        <w:rPr>
          <w:rFonts w:ascii="宋体" w:eastAsia="宋体" w:hAnsi="宋体" w:hint="eastAsia"/>
          <w:sz w:val="28"/>
          <w:szCs w:val="28"/>
        </w:rPr>
        <w:t>课程</w:t>
      </w:r>
      <w:r>
        <w:rPr>
          <w:rFonts w:ascii="宋体" w:eastAsia="宋体" w:hAnsi="宋体" w:hint="eastAsia"/>
          <w:sz w:val="28"/>
          <w:szCs w:val="28"/>
        </w:rPr>
        <w:t>、</w:t>
      </w:r>
      <w:r w:rsidRPr="00910E3F">
        <w:rPr>
          <w:rFonts w:ascii="宋体" w:eastAsia="宋体" w:hAnsi="宋体" w:hint="eastAsia"/>
          <w:sz w:val="28"/>
          <w:szCs w:val="28"/>
        </w:rPr>
        <w:t>教师组成</w:t>
      </w:r>
      <w:r>
        <w:rPr>
          <w:rFonts w:ascii="宋体" w:eastAsia="宋体" w:hAnsi="宋体" w:hint="eastAsia"/>
          <w:sz w:val="28"/>
          <w:szCs w:val="28"/>
        </w:rPr>
        <w:t>、毕业</w:t>
      </w:r>
      <w:r w:rsidRPr="00910E3F">
        <w:rPr>
          <w:rFonts w:ascii="宋体" w:eastAsia="宋体" w:hAnsi="宋体" w:hint="eastAsia"/>
          <w:sz w:val="28"/>
          <w:szCs w:val="28"/>
        </w:rPr>
        <w:t>人数</w:t>
      </w:r>
      <w:r>
        <w:rPr>
          <w:rFonts w:ascii="宋体" w:eastAsia="宋体" w:hAnsi="宋体" w:hint="eastAsia"/>
          <w:sz w:val="28"/>
          <w:szCs w:val="28"/>
        </w:rPr>
        <w:t>、毕业</w:t>
      </w:r>
      <w:r w:rsidRPr="00910E3F">
        <w:rPr>
          <w:rFonts w:ascii="宋体" w:eastAsia="宋体" w:hAnsi="宋体" w:hint="eastAsia"/>
          <w:sz w:val="28"/>
          <w:szCs w:val="28"/>
        </w:rPr>
        <w:t>质量</w:t>
      </w:r>
      <w:r>
        <w:rPr>
          <w:rFonts w:ascii="宋体" w:eastAsia="宋体" w:hAnsi="宋体" w:hint="eastAsia"/>
          <w:sz w:val="28"/>
          <w:szCs w:val="28"/>
        </w:rPr>
        <w:t>、学术合作、</w:t>
      </w:r>
      <w:r w:rsidRPr="00910E3F">
        <w:rPr>
          <w:rFonts w:ascii="宋体" w:eastAsia="宋体" w:hAnsi="宋体" w:hint="eastAsia"/>
          <w:sz w:val="28"/>
          <w:szCs w:val="28"/>
        </w:rPr>
        <w:t>与行业的联系以及研究</w:t>
      </w:r>
      <w:r w:rsidRPr="00910E3F">
        <w:rPr>
          <w:rFonts w:ascii="宋体" w:eastAsia="宋体" w:hAnsi="宋体"/>
          <w:sz w:val="28"/>
          <w:szCs w:val="28"/>
        </w:rPr>
        <w:t>/奖学金</w:t>
      </w:r>
      <w:r>
        <w:rPr>
          <w:rFonts w:ascii="宋体" w:eastAsia="宋体" w:hAnsi="宋体" w:hint="eastAsia"/>
          <w:sz w:val="28"/>
          <w:szCs w:val="28"/>
        </w:rPr>
        <w:t>等</w:t>
      </w:r>
      <w:r w:rsidRPr="00910E3F">
        <w:rPr>
          <w:rFonts w:ascii="宋体" w:eastAsia="宋体" w:hAnsi="宋体"/>
          <w:sz w:val="28"/>
          <w:szCs w:val="28"/>
        </w:rPr>
        <w:t>八项</w:t>
      </w:r>
      <w:r>
        <w:rPr>
          <w:rFonts w:ascii="宋体" w:eastAsia="宋体" w:hAnsi="宋体" w:hint="eastAsia"/>
          <w:sz w:val="28"/>
          <w:szCs w:val="28"/>
        </w:rPr>
        <w:t>内容符合SOA的</w:t>
      </w:r>
      <w:r w:rsidRPr="00910E3F">
        <w:rPr>
          <w:rFonts w:ascii="宋体" w:eastAsia="宋体" w:hAnsi="宋体"/>
          <w:sz w:val="28"/>
          <w:szCs w:val="28"/>
        </w:rPr>
        <w:t>具体要求。</w:t>
      </w:r>
      <w:r w:rsidR="004E7368" w:rsidRPr="004E7368">
        <w:rPr>
          <w:rFonts w:ascii="宋体" w:eastAsia="宋体" w:hAnsi="宋体" w:hint="eastAsia"/>
          <w:sz w:val="28"/>
          <w:szCs w:val="28"/>
        </w:rPr>
        <w:t>陶森大学与我校的</w:t>
      </w:r>
      <w:r w:rsidR="00296D73" w:rsidRPr="004E7368">
        <w:rPr>
          <w:rFonts w:ascii="宋体" w:eastAsia="宋体" w:hAnsi="宋体" w:hint="eastAsia"/>
          <w:sz w:val="28"/>
          <w:szCs w:val="28"/>
        </w:rPr>
        <w:t>精算与风险管理</w:t>
      </w:r>
      <w:r w:rsidR="001D314A" w:rsidRPr="004E7368">
        <w:rPr>
          <w:rFonts w:ascii="宋体" w:eastAsia="宋体" w:hAnsi="宋体" w:hint="eastAsia"/>
          <w:sz w:val="28"/>
          <w:szCs w:val="28"/>
        </w:rPr>
        <w:t>合作</w:t>
      </w:r>
      <w:r w:rsidR="004E7368" w:rsidRPr="004E7368">
        <w:rPr>
          <w:rFonts w:ascii="宋体" w:eastAsia="宋体" w:hAnsi="宋体" w:hint="eastAsia"/>
          <w:sz w:val="28"/>
          <w:szCs w:val="28"/>
        </w:rPr>
        <w:t>项目起始于</w:t>
      </w:r>
      <w:r w:rsidR="004E7368" w:rsidRPr="004E7368">
        <w:rPr>
          <w:rFonts w:ascii="宋体" w:eastAsia="宋体" w:hAnsi="宋体"/>
          <w:sz w:val="28"/>
          <w:szCs w:val="28"/>
        </w:rPr>
        <w:t>2005年，已累计合作培养了80</w:t>
      </w:r>
      <w:r w:rsidR="001D314A">
        <w:rPr>
          <w:rFonts w:ascii="宋体" w:eastAsia="宋体" w:hAnsi="宋体"/>
          <w:sz w:val="28"/>
          <w:szCs w:val="28"/>
        </w:rPr>
        <w:t>多名毕业生并取得可喜的成绩。随着形势的发展，原来</w:t>
      </w:r>
      <w:r w:rsidR="001D314A">
        <w:rPr>
          <w:rFonts w:ascii="宋体" w:eastAsia="宋体" w:hAnsi="宋体" w:hint="eastAsia"/>
          <w:sz w:val="28"/>
          <w:szCs w:val="28"/>
        </w:rPr>
        <w:t>的</w:t>
      </w:r>
      <w:r w:rsidR="004E7368" w:rsidRPr="004E7368">
        <w:rPr>
          <w:rFonts w:ascii="宋体" w:eastAsia="宋体" w:hAnsi="宋体"/>
          <w:sz w:val="28"/>
          <w:szCs w:val="28"/>
        </w:rPr>
        <w:t>“1+2+1”项目形式已不适应当前签证制度</w:t>
      </w:r>
      <w:r w:rsidR="000A0DC6">
        <w:rPr>
          <w:rFonts w:ascii="宋体" w:eastAsia="宋体" w:hAnsi="宋体" w:hint="eastAsia"/>
          <w:sz w:val="28"/>
          <w:szCs w:val="28"/>
        </w:rPr>
        <w:t>及学生需求</w:t>
      </w:r>
      <w:r w:rsidR="004E7368" w:rsidRPr="004E7368">
        <w:rPr>
          <w:rFonts w:ascii="宋体" w:eastAsia="宋体" w:hAnsi="宋体"/>
          <w:sz w:val="28"/>
          <w:szCs w:val="28"/>
        </w:rPr>
        <w:t>。</w:t>
      </w:r>
      <w:r w:rsidR="00DA5407">
        <w:rPr>
          <w:rFonts w:ascii="宋体" w:eastAsia="宋体" w:hAnsi="宋体" w:hint="eastAsia"/>
          <w:sz w:val="28"/>
          <w:szCs w:val="28"/>
        </w:rPr>
        <w:t>陶森大学与</w:t>
      </w:r>
      <w:r w:rsidR="000A0DC6">
        <w:rPr>
          <w:rFonts w:ascii="宋体" w:eastAsia="宋体" w:hAnsi="宋体" w:hint="eastAsia"/>
          <w:sz w:val="28"/>
          <w:szCs w:val="28"/>
        </w:rPr>
        <w:t>我校</w:t>
      </w:r>
      <w:r w:rsidR="00DA5407" w:rsidRPr="004420E3">
        <w:rPr>
          <w:rFonts w:ascii="宋体" w:eastAsia="宋体" w:hAnsi="宋体" w:hint="eastAsia"/>
          <w:sz w:val="28"/>
          <w:szCs w:val="28"/>
        </w:rPr>
        <w:t>于2</w:t>
      </w:r>
      <w:r w:rsidR="00DA5407" w:rsidRPr="004420E3">
        <w:rPr>
          <w:rFonts w:ascii="宋体" w:eastAsia="宋体" w:hAnsi="宋体"/>
          <w:sz w:val="28"/>
          <w:szCs w:val="28"/>
        </w:rPr>
        <w:t>018</w:t>
      </w:r>
      <w:r w:rsidR="00DA5407" w:rsidRPr="004420E3">
        <w:rPr>
          <w:rFonts w:ascii="宋体" w:eastAsia="宋体" w:hAnsi="宋体" w:hint="eastAsia"/>
          <w:sz w:val="28"/>
          <w:szCs w:val="28"/>
        </w:rPr>
        <w:t>年6月8日完成“2</w:t>
      </w:r>
      <w:r w:rsidR="00DA5407" w:rsidRPr="004420E3">
        <w:rPr>
          <w:rFonts w:ascii="宋体" w:eastAsia="宋体" w:hAnsi="宋体"/>
          <w:sz w:val="28"/>
          <w:szCs w:val="28"/>
        </w:rPr>
        <w:t>+2</w:t>
      </w:r>
      <w:r w:rsidR="00DA5407" w:rsidRPr="004420E3">
        <w:rPr>
          <w:rFonts w:ascii="宋体" w:eastAsia="宋体" w:hAnsi="宋体" w:hint="eastAsia"/>
          <w:sz w:val="28"/>
          <w:szCs w:val="28"/>
        </w:rPr>
        <w:t>”项目合作协议的签署。</w:t>
      </w:r>
    </w:p>
    <w:p w:rsidR="00DA5407" w:rsidRDefault="00DA5407" w:rsidP="00DA5407">
      <w:pPr>
        <w:spacing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4420E3">
        <w:rPr>
          <w:rFonts w:ascii="宋体" w:eastAsia="宋体" w:hAnsi="宋体" w:hint="eastAsia"/>
          <w:sz w:val="28"/>
          <w:szCs w:val="28"/>
        </w:rPr>
        <w:t>根据</w:t>
      </w:r>
      <w:r w:rsidR="00AB0A7A" w:rsidRPr="004420E3">
        <w:rPr>
          <w:rFonts w:ascii="宋体" w:eastAsia="宋体" w:hAnsi="宋体" w:hint="eastAsia"/>
          <w:sz w:val="28"/>
          <w:szCs w:val="28"/>
        </w:rPr>
        <w:t>“2</w:t>
      </w:r>
      <w:r w:rsidR="00AB0A7A" w:rsidRPr="004420E3">
        <w:rPr>
          <w:rFonts w:ascii="宋体" w:eastAsia="宋体" w:hAnsi="宋体"/>
          <w:sz w:val="28"/>
          <w:szCs w:val="28"/>
        </w:rPr>
        <w:t>+2</w:t>
      </w:r>
      <w:r w:rsidR="00AB0A7A" w:rsidRPr="004420E3">
        <w:rPr>
          <w:rFonts w:ascii="宋体" w:eastAsia="宋体" w:hAnsi="宋体" w:hint="eastAsia"/>
          <w:sz w:val="28"/>
          <w:szCs w:val="28"/>
        </w:rPr>
        <w:t>”项目合作</w:t>
      </w:r>
      <w:r w:rsidRPr="004420E3">
        <w:rPr>
          <w:rFonts w:ascii="宋体" w:eastAsia="宋体" w:hAnsi="宋体" w:hint="eastAsia"/>
          <w:sz w:val="28"/>
          <w:szCs w:val="28"/>
        </w:rPr>
        <w:t>协议，陶森大学认可学生在我校完成的一、二年级课程及学分，在陶森大学完成三、四年级的课程及学分并符合陶森大学相关要求后，陶森大学授予其理学学位。</w:t>
      </w:r>
      <w:r w:rsidR="00522079" w:rsidRPr="004420E3">
        <w:rPr>
          <w:rFonts w:ascii="宋体" w:eastAsia="宋体" w:hAnsi="宋体" w:hint="eastAsia"/>
          <w:sz w:val="28"/>
          <w:szCs w:val="28"/>
        </w:rPr>
        <w:t>“2</w:t>
      </w:r>
      <w:r w:rsidR="00522079" w:rsidRPr="004420E3">
        <w:rPr>
          <w:rFonts w:ascii="宋体" w:eastAsia="宋体" w:hAnsi="宋体"/>
          <w:sz w:val="28"/>
          <w:szCs w:val="28"/>
        </w:rPr>
        <w:t>+2</w:t>
      </w:r>
      <w:r w:rsidR="00522079" w:rsidRPr="004420E3">
        <w:rPr>
          <w:rFonts w:ascii="宋体" w:eastAsia="宋体" w:hAnsi="宋体" w:hint="eastAsia"/>
          <w:sz w:val="28"/>
          <w:szCs w:val="28"/>
        </w:rPr>
        <w:t>”</w:t>
      </w:r>
      <w:r w:rsidR="00522079">
        <w:rPr>
          <w:rFonts w:ascii="宋体" w:eastAsia="宋体" w:hAnsi="宋体" w:hint="eastAsia"/>
          <w:sz w:val="28"/>
          <w:szCs w:val="28"/>
        </w:rPr>
        <w:t>项目合作</w:t>
      </w:r>
      <w:r w:rsidR="00C75FE9">
        <w:rPr>
          <w:rFonts w:ascii="宋体" w:eastAsia="宋体" w:hAnsi="宋体" w:hint="eastAsia"/>
          <w:sz w:val="28"/>
          <w:szCs w:val="28"/>
        </w:rPr>
        <w:t>协议签署后，</w:t>
      </w:r>
      <w:r w:rsidR="00B70068">
        <w:rPr>
          <w:rFonts w:ascii="宋体" w:eastAsia="宋体" w:hAnsi="宋体" w:hint="eastAsia"/>
          <w:sz w:val="28"/>
          <w:szCs w:val="28"/>
        </w:rPr>
        <w:t>2</w:t>
      </w:r>
      <w:r w:rsidR="00B70068">
        <w:rPr>
          <w:rFonts w:ascii="宋体" w:eastAsia="宋体" w:hAnsi="宋体"/>
          <w:sz w:val="28"/>
          <w:szCs w:val="28"/>
        </w:rPr>
        <w:t>018</w:t>
      </w:r>
      <w:r w:rsidR="00AB0A7A">
        <w:rPr>
          <w:rFonts w:ascii="宋体" w:eastAsia="宋体" w:hAnsi="宋体" w:hint="eastAsia"/>
          <w:sz w:val="28"/>
          <w:szCs w:val="28"/>
        </w:rPr>
        <w:t>年</w:t>
      </w:r>
      <w:r w:rsidR="00B70068">
        <w:rPr>
          <w:rFonts w:ascii="宋体" w:eastAsia="宋体" w:hAnsi="宋体" w:hint="eastAsia"/>
          <w:sz w:val="28"/>
          <w:szCs w:val="28"/>
        </w:rPr>
        <w:t>3名学生，2</w:t>
      </w:r>
      <w:r w:rsidR="00B70068">
        <w:rPr>
          <w:rFonts w:ascii="宋体" w:eastAsia="宋体" w:hAnsi="宋体"/>
          <w:sz w:val="28"/>
          <w:szCs w:val="28"/>
        </w:rPr>
        <w:t>019</w:t>
      </w:r>
      <w:r w:rsidR="00AB0A7A">
        <w:rPr>
          <w:rFonts w:ascii="宋体" w:eastAsia="宋体" w:hAnsi="宋体" w:hint="eastAsia"/>
          <w:sz w:val="28"/>
          <w:szCs w:val="28"/>
        </w:rPr>
        <w:t>年</w:t>
      </w:r>
      <w:r w:rsidR="00B70068">
        <w:rPr>
          <w:rFonts w:ascii="宋体" w:eastAsia="宋体" w:hAnsi="宋体" w:hint="eastAsia"/>
          <w:sz w:val="28"/>
          <w:szCs w:val="28"/>
        </w:rPr>
        <w:t>1名学生参加该项目。</w:t>
      </w:r>
    </w:p>
    <w:p w:rsidR="009B0174" w:rsidRPr="002E48FA" w:rsidRDefault="00B50971" w:rsidP="002E48FA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2E48FA">
        <w:rPr>
          <w:rFonts w:ascii="宋体" w:eastAsia="宋体" w:hAnsi="宋体" w:hint="eastAsia"/>
          <w:b/>
          <w:sz w:val="28"/>
          <w:szCs w:val="28"/>
        </w:rPr>
        <w:lastRenderedPageBreak/>
        <w:t>两校课程设置情况</w:t>
      </w:r>
    </w:p>
    <w:p w:rsidR="002E48FA" w:rsidRPr="002E48FA" w:rsidRDefault="002E48FA" w:rsidP="002E48FA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参加</w:t>
      </w:r>
      <w:r w:rsidR="00C62087" w:rsidRPr="004420E3">
        <w:rPr>
          <w:rFonts w:ascii="宋体" w:eastAsia="宋体" w:hAnsi="宋体" w:hint="eastAsia"/>
          <w:sz w:val="28"/>
          <w:szCs w:val="28"/>
        </w:rPr>
        <w:t>“2</w:t>
      </w:r>
      <w:r w:rsidR="00C62087" w:rsidRPr="004420E3">
        <w:rPr>
          <w:rFonts w:ascii="宋体" w:eastAsia="宋体" w:hAnsi="宋体"/>
          <w:sz w:val="28"/>
          <w:szCs w:val="28"/>
        </w:rPr>
        <w:t>+2</w:t>
      </w:r>
      <w:r w:rsidR="00C62087" w:rsidRPr="004420E3">
        <w:rPr>
          <w:rFonts w:ascii="宋体" w:eastAsia="宋体" w:hAnsi="宋体" w:hint="eastAsia"/>
          <w:sz w:val="28"/>
          <w:szCs w:val="28"/>
        </w:rPr>
        <w:t>”</w:t>
      </w:r>
      <w:r w:rsidR="00C62087">
        <w:rPr>
          <w:rFonts w:ascii="宋体" w:eastAsia="宋体" w:hAnsi="宋体" w:hint="eastAsia"/>
          <w:sz w:val="28"/>
          <w:szCs w:val="28"/>
        </w:rPr>
        <w:t>项目</w:t>
      </w:r>
      <w:r>
        <w:rPr>
          <w:rFonts w:ascii="宋体" w:eastAsia="宋体" w:hAnsi="宋体" w:hint="eastAsia"/>
          <w:sz w:val="28"/>
          <w:szCs w:val="28"/>
        </w:rPr>
        <w:t>的学生</w:t>
      </w:r>
      <w:r w:rsidRPr="002E48FA">
        <w:rPr>
          <w:rFonts w:ascii="宋体" w:eastAsia="宋体" w:hAnsi="宋体" w:hint="eastAsia"/>
          <w:sz w:val="28"/>
          <w:szCs w:val="28"/>
        </w:rPr>
        <w:t>在陶森</w:t>
      </w:r>
      <w:r>
        <w:rPr>
          <w:rFonts w:ascii="宋体" w:eastAsia="宋体" w:hAnsi="宋体" w:hint="eastAsia"/>
          <w:sz w:val="28"/>
          <w:szCs w:val="28"/>
        </w:rPr>
        <w:t>大学</w:t>
      </w:r>
      <w:r w:rsidR="00F371FA">
        <w:rPr>
          <w:rFonts w:ascii="宋体" w:eastAsia="宋体" w:hAnsi="宋体" w:hint="eastAsia"/>
          <w:sz w:val="28"/>
          <w:szCs w:val="28"/>
        </w:rPr>
        <w:t>的两年期间</w:t>
      </w:r>
      <w:r>
        <w:rPr>
          <w:rFonts w:ascii="宋体" w:eastAsia="宋体" w:hAnsi="宋体" w:hint="eastAsia"/>
          <w:sz w:val="28"/>
          <w:szCs w:val="28"/>
        </w:rPr>
        <w:t>须修完2</w:t>
      </w: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门课，共计6</w:t>
      </w: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或6</w:t>
      </w:r>
      <w:r>
        <w:rPr>
          <w:rFonts w:ascii="宋体" w:eastAsia="宋体" w:hAnsi="宋体"/>
          <w:sz w:val="28"/>
          <w:szCs w:val="28"/>
        </w:rPr>
        <w:t>9</w:t>
      </w:r>
      <w:r w:rsidR="0076469A">
        <w:rPr>
          <w:rFonts w:ascii="宋体" w:eastAsia="宋体" w:hAnsi="宋体" w:hint="eastAsia"/>
          <w:sz w:val="28"/>
          <w:szCs w:val="28"/>
        </w:rPr>
        <w:t>学分。我校</w:t>
      </w:r>
      <w:r w:rsidR="006C4B09">
        <w:rPr>
          <w:rFonts w:ascii="宋体" w:eastAsia="宋体" w:hAnsi="宋体" w:hint="eastAsia"/>
          <w:sz w:val="28"/>
          <w:szCs w:val="28"/>
        </w:rPr>
        <w:t>培养方案中</w:t>
      </w:r>
      <w:r w:rsidR="00922A99">
        <w:rPr>
          <w:rFonts w:ascii="宋体" w:eastAsia="宋体" w:hAnsi="宋体" w:hint="eastAsia"/>
          <w:sz w:val="28"/>
          <w:szCs w:val="28"/>
        </w:rPr>
        <w:t>，在三、四年级须完成的专业相关学分在4</w:t>
      </w:r>
      <w:r w:rsidR="00922A99">
        <w:rPr>
          <w:rFonts w:ascii="宋体" w:eastAsia="宋体" w:hAnsi="宋体"/>
          <w:sz w:val="28"/>
          <w:szCs w:val="28"/>
        </w:rPr>
        <w:t>6</w:t>
      </w:r>
      <w:r w:rsidR="00922A99">
        <w:rPr>
          <w:rFonts w:ascii="宋体" w:eastAsia="宋体" w:hAnsi="宋体" w:hint="eastAsia"/>
          <w:sz w:val="28"/>
          <w:szCs w:val="28"/>
        </w:rPr>
        <w:t>学分左右（含必修、选修、长短学段等，由于培养方案</w:t>
      </w:r>
      <w:r w:rsidR="00D95F04">
        <w:rPr>
          <w:rFonts w:ascii="宋体" w:eastAsia="宋体" w:hAnsi="宋体" w:hint="eastAsia"/>
          <w:sz w:val="28"/>
          <w:szCs w:val="28"/>
        </w:rPr>
        <w:t>动态</w:t>
      </w:r>
      <w:r w:rsidR="00922A99">
        <w:rPr>
          <w:rFonts w:ascii="宋体" w:eastAsia="宋体" w:hAnsi="宋体" w:hint="eastAsia"/>
          <w:sz w:val="28"/>
          <w:szCs w:val="28"/>
        </w:rPr>
        <w:t>修订，可能逐年有所不同）</w:t>
      </w:r>
      <w:r w:rsidR="00AD3790">
        <w:rPr>
          <w:rFonts w:ascii="宋体" w:eastAsia="宋体" w:hAnsi="宋体" w:hint="eastAsia"/>
          <w:sz w:val="28"/>
          <w:szCs w:val="28"/>
        </w:rPr>
        <w:t>。</w:t>
      </w:r>
      <w:r w:rsidR="002E73D6">
        <w:rPr>
          <w:rFonts w:ascii="宋体" w:eastAsia="宋体" w:hAnsi="宋体" w:hint="eastAsia"/>
          <w:sz w:val="28"/>
          <w:szCs w:val="28"/>
        </w:rPr>
        <w:t>下面</w:t>
      </w:r>
      <w:r w:rsidR="001577BF">
        <w:rPr>
          <w:rFonts w:ascii="宋体" w:eastAsia="宋体" w:hAnsi="宋体" w:hint="eastAsia"/>
          <w:sz w:val="28"/>
          <w:szCs w:val="28"/>
        </w:rPr>
        <w:t>，</w:t>
      </w:r>
      <w:r w:rsidR="002E73D6">
        <w:rPr>
          <w:rFonts w:ascii="宋体" w:eastAsia="宋体" w:hAnsi="宋体" w:hint="eastAsia"/>
          <w:sz w:val="28"/>
          <w:szCs w:val="28"/>
        </w:rPr>
        <w:t>按照我校培养方案</w:t>
      </w:r>
      <w:r w:rsidR="00105557">
        <w:rPr>
          <w:rFonts w:ascii="宋体" w:eastAsia="宋体" w:hAnsi="宋体" w:hint="eastAsia"/>
          <w:sz w:val="28"/>
          <w:szCs w:val="28"/>
        </w:rPr>
        <w:t>中对专业课、实践课</w:t>
      </w:r>
      <w:r w:rsidR="002E73D6">
        <w:rPr>
          <w:rFonts w:ascii="宋体" w:eastAsia="宋体" w:hAnsi="宋体" w:hint="eastAsia"/>
          <w:sz w:val="28"/>
          <w:szCs w:val="28"/>
        </w:rPr>
        <w:t>的要求，列出陶森大学相对应的课程</w:t>
      </w:r>
      <w:r w:rsidR="00105557">
        <w:rPr>
          <w:rFonts w:ascii="宋体" w:eastAsia="宋体" w:hAnsi="宋体" w:hint="eastAsia"/>
          <w:sz w:val="28"/>
          <w:szCs w:val="28"/>
        </w:rPr>
        <w:t>以及其他课程</w:t>
      </w:r>
      <w:bookmarkStart w:id="0" w:name="_GoBack"/>
      <w:bookmarkEnd w:id="0"/>
      <w:r w:rsidR="002E73D6">
        <w:rPr>
          <w:rFonts w:ascii="宋体" w:eastAsia="宋体" w:hAnsi="宋体" w:hint="eastAsia"/>
          <w:sz w:val="28"/>
          <w:szCs w:val="28"/>
        </w:rPr>
        <w:t>。</w:t>
      </w:r>
    </w:p>
    <w:p w:rsidR="009B0174" w:rsidRDefault="002E73D6" w:rsidP="00BD0F1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专业课平台</w:t>
      </w:r>
    </w:p>
    <w:p w:rsidR="00444E62" w:rsidRDefault="00FA5DDF" w:rsidP="00444E6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我校精算专业在三、四年级的</w:t>
      </w:r>
      <w:r w:rsidR="002D4F9F">
        <w:rPr>
          <w:rFonts w:ascii="宋体" w:eastAsia="宋体" w:hAnsi="宋体" w:hint="eastAsia"/>
          <w:sz w:val="28"/>
          <w:szCs w:val="28"/>
        </w:rPr>
        <w:t>必修课程</w:t>
      </w:r>
      <w:r w:rsidR="00E7493E">
        <w:rPr>
          <w:rFonts w:ascii="宋体" w:eastAsia="宋体" w:hAnsi="宋体" w:hint="eastAsia"/>
          <w:sz w:val="28"/>
          <w:szCs w:val="28"/>
        </w:rPr>
        <w:t>要求为1</w:t>
      </w:r>
      <w:r w:rsidR="00E7493E">
        <w:rPr>
          <w:rFonts w:ascii="宋体" w:eastAsia="宋体" w:hAnsi="宋体"/>
          <w:sz w:val="28"/>
          <w:szCs w:val="28"/>
        </w:rPr>
        <w:t>1</w:t>
      </w:r>
      <w:r w:rsidR="00E7493E">
        <w:rPr>
          <w:rFonts w:ascii="宋体" w:eastAsia="宋体" w:hAnsi="宋体" w:hint="eastAsia"/>
          <w:sz w:val="28"/>
          <w:szCs w:val="28"/>
        </w:rPr>
        <w:t>学分，</w:t>
      </w:r>
      <w:r>
        <w:rPr>
          <w:rFonts w:ascii="宋体" w:eastAsia="宋体" w:hAnsi="宋体" w:hint="eastAsia"/>
          <w:sz w:val="28"/>
          <w:szCs w:val="28"/>
        </w:rPr>
        <w:t>专业选修课程</w:t>
      </w:r>
      <w:r w:rsidR="00E7493E">
        <w:rPr>
          <w:rFonts w:ascii="宋体" w:eastAsia="宋体" w:hAnsi="宋体" w:hint="eastAsia"/>
          <w:sz w:val="28"/>
          <w:szCs w:val="28"/>
        </w:rPr>
        <w:t>要求为9学分。</w:t>
      </w:r>
      <w:r w:rsidR="0090304D">
        <w:rPr>
          <w:rFonts w:ascii="宋体" w:eastAsia="宋体" w:hAnsi="宋体" w:hint="eastAsia"/>
          <w:sz w:val="28"/>
          <w:szCs w:val="28"/>
        </w:rPr>
        <w:t>在表1中，</w:t>
      </w:r>
      <w:r w:rsidR="00A20524">
        <w:rPr>
          <w:rFonts w:ascii="宋体" w:eastAsia="宋体" w:hAnsi="宋体" w:hint="eastAsia"/>
          <w:sz w:val="28"/>
          <w:szCs w:val="28"/>
        </w:rPr>
        <w:t>左侧</w:t>
      </w:r>
      <w:r w:rsidR="0090304D">
        <w:rPr>
          <w:rFonts w:ascii="宋体" w:eastAsia="宋体" w:hAnsi="宋体" w:hint="eastAsia"/>
          <w:sz w:val="28"/>
          <w:szCs w:val="28"/>
        </w:rPr>
        <w:t>列出了</w:t>
      </w:r>
      <w:r w:rsidR="00A20524">
        <w:rPr>
          <w:rFonts w:ascii="宋体" w:eastAsia="宋体" w:hAnsi="宋体" w:hint="eastAsia"/>
          <w:sz w:val="28"/>
          <w:szCs w:val="28"/>
        </w:rPr>
        <w:t>必修课及</w:t>
      </w:r>
      <w:r w:rsidR="0090304D">
        <w:rPr>
          <w:rFonts w:ascii="宋体" w:eastAsia="宋体" w:hAnsi="宋体" w:hint="eastAsia"/>
          <w:sz w:val="28"/>
          <w:szCs w:val="28"/>
        </w:rPr>
        <w:t>部分选修课，这些</w:t>
      </w:r>
      <w:r w:rsidR="00A20524">
        <w:rPr>
          <w:rFonts w:ascii="宋体" w:eastAsia="宋体" w:hAnsi="宋体" w:hint="eastAsia"/>
          <w:sz w:val="28"/>
          <w:szCs w:val="28"/>
        </w:rPr>
        <w:t>课程</w:t>
      </w:r>
      <w:r w:rsidR="0090304D">
        <w:rPr>
          <w:rFonts w:ascii="宋体" w:eastAsia="宋体" w:hAnsi="宋体" w:hint="eastAsia"/>
          <w:sz w:val="28"/>
          <w:szCs w:val="28"/>
        </w:rPr>
        <w:t>在“2+</w:t>
      </w:r>
      <w:r w:rsidR="0090304D">
        <w:rPr>
          <w:rFonts w:ascii="宋体" w:eastAsia="宋体" w:hAnsi="宋体"/>
          <w:sz w:val="28"/>
          <w:szCs w:val="28"/>
        </w:rPr>
        <w:t>2</w:t>
      </w:r>
      <w:r w:rsidR="0090304D">
        <w:rPr>
          <w:rFonts w:ascii="宋体" w:eastAsia="宋体" w:hAnsi="宋体" w:hint="eastAsia"/>
          <w:sz w:val="28"/>
          <w:szCs w:val="28"/>
        </w:rPr>
        <w:t>”项目中</w:t>
      </w:r>
      <w:r w:rsidR="00A20524">
        <w:rPr>
          <w:rFonts w:ascii="宋体" w:eastAsia="宋体" w:hAnsi="宋体" w:hint="eastAsia"/>
          <w:sz w:val="28"/>
          <w:szCs w:val="28"/>
        </w:rPr>
        <w:t>各</w:t>
      </w:r>
      <w:r w:rsidR="0090304D">
        <w:rPr>
          <w:rFonts w:ascii="宋体" w:eastAsia="宋体" w:hAnsi="宋体" w:hint="eastAsia"/>
          <w:sz w:val="28"/>
          <w:szCs w:val="28"/>
        </w:rPr>
        <w:t>有1</w:t>
      </w:r>
      <w:r w:rsidR="0090304D">
        <w:rPr>
          <w:rFonts w:ascii="宋体" w:eastAsia="宋体" w:hAnsi="宋体"/>
          <w:sz w:val="28"/>
          <w:szCs w:val="28"/>
        </w:rPr>
        <w:t>1</w:t>
      </w:r>
      <w:r w:rsidR="0090304D">
        <w:rPr>
          <w:rFonts w:ascii="宋体" w:eastAsia="宋体" w:hAnsi="宋体" w:hint="eastAsia"/>
          <w:sz w:val="28"/>
          <w:szCs w:val="28"/>
        </w:rPr>
        <w:t>学分</w:t>
      </w:r>
      <w:r w:rsidR="00E155C7">
        <w:rPr>
          <w:rFonts w:ascii="宋体" w:eastAsia="宋体" w:hAnsi="宋体" w:hint="eastAsia"/>
          <w:sz w:val="28"/>
          <w:szCs w:val="28"/>
        </w:rPr>
        <w:t>的</w:t>
      </w:r>
      <w:r w:rsidR="009612D1">
        <w:rPr>
          <w:rFonts w:ascii="宋体" w:eastAsia="宋体" w:hAnsi="宋体" w:hint="eastAsia"/>
          <w:sz w:val="28"/>
          <w:szCs w:val="28"/>
        </w:rPr>
        <w:t>相近</w:t>
      </w:r>
      <w:r w:rsidR="00E155C7">
        <w:rPr>
          <w:rFonts w:ascii="宋体" w:eastAsia="宋体" w:hAnsi="宋体" w:hint="eastAsia"/>
          <w:sz w:val="28"/>
          <w:szCs w:val="28"/>
        </w:rPr>
        <w:t>课程</w:t>
      </w:r>
      <w:r w:rsidR="0090304D">
        <w:rPr>
          <w:rFonts w:ascii="宋体" w:eastAsia="宋体" w:hAnsi="宋体" w:hint="eastAsia"/>
          <w:sz w:val="28"/>
          <w:szCs w:val="28"/>
        </w:rPr>
        <w:t>相对应</w:t>
      </w:r>
      <w:r>
        <w:rPr>
          <w:rFonts w:ascii="宋体" w:eastAsia="宋体" w:hAnsi="宋体" w:hint="eastAsia"/>
          <w:sz w:val="28"/>
          <w:szCs w:val="28"/>
        </w:rPr>
        <w:t>。</w:t>
      </w:r>
      <w:r w:rsidR="00797155">
        <w:rPr>
          <w:rFonts w:ascii="宋体" w:eastAsia="宋体" w:hAnsi="宋体" w:hint="eastAsia"/>
          <w:sz w:val="28"/>
          <w:szCs w:val="28"/>
        </w:rPr>
        <w:t>基于此，</w:t>
      </w:r>
      <w:r w:rsidR="00401D50">
        <w:rPr>
          <w:rFonts w:ascii="宋体" w:eastAsia="宋体" w:hAnsi="宋体" w:hint="eastAsia"/>
          <w:sz w:val="28"/>
          <w:szCs w:val="28"/>
        </w:rPr>
        <w:t>认定陶森大学的专业课程满足我校的专业课学分要求。</w:t>
      </w:r>
    </w:p>
    <w:p w:rsidR="00D16F72" w:rsidRPr="00444E62" w:rsidRDefault="002E73D6" w:rsidP="00576D54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表1</w:t>
      </w:r>
      <w:r w:rsidR="00D16F72">
        <w:rPr>
          <w:rFonts w:ascii="宋体" w:eastAsia="宋体" w:hAnsi="宋体" w:hint="eastAsia"/>
          <w:sz w:val="28"/>
          <w:szCs w:val="28"/>
        </w:rPr>
        <w:t>： 两校</w:t>
      </w:r>
      <w:r w:rsidR="00E51709">
        <w:rPr>
          <w:rFonts w:ascii="宋体" w:eastAsia="宋体" w:hAnsi="宋体" w:hint="eastAsia"/>
          <w:sz w:val="28"/>
          <w:szCs w:val="28"/>
        </w:rPr>
        <w:t>的</w:t>
      </w:r>
      <w:r w:rsidR="002D0057">
        <w:rPr>
          <w:rFonts w:ascii="宋体" w:eastAsia="宋体" w:hAnsi="宋体" w:hint="eastAsia"/>
          <w:sz w:val="28"/>
          <w:szCs w:val="28"/>
        </w:rPr>
        <w:t>专业课程</w:t>
      </w:r>
      <w:r w:rsidR="00D16F72">
        <w:rPr>
          <w:rFonts w:ascii="宋体" w:eastAsia="宋体" w:hAnsi="宋体" w:hint="eastAsia"/>
          <w:sz w:val="28"/>
          <w:szCs w:val="28"/>
        </w:rPr>
        <w:t>对照表</w:t>
      </w:r>
    </w:p>
    <w:tbl>
      <w:tblPr>
        <w:tblW w:w="7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1843"/>
        <w:gridCol w:w="708"/>
        <w:gridCol w:w="2835"/>
        <w:gridCol w:w="798"/>
      </w:tblGrid>
      <w:tr w:rsidR="00E834BB" w:rsidRPr="00FC37A5" w:rsidTr="00AA21CA">
        <w:trPr>
          <w:trHeight w:val="283"/>
          <w:jc w:val="center"/>
        </w:trPr>
        <w:tc>
          <w:tcPr>
            <w:tcW w:w="2689" w:type="dxa"/>
            <w:gridSpan w:val="2"/>
          </w:tcPr>
          <w:p w:rsidR="00E834BB" w:rsidRPr="00E834BB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E834BB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上海立信会计金融学院</w:t>
            </w:r>
          </w:p>
        </w:tc>
        <w:tc>
          <w:tcPr>
            <w:tcW w:w="708" w:type="dxa"/>
            <w:vAlign w:val="center"/>
          </w:tcPr>
          <w:p w:rsidR="00E834BB" w:rsidRPr="00A60FED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A60FE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2835" w:type="dxa"/>
            <w:vAlign w:val="center"/>
          </w:tcPr>
          <w:p w:rsidR="00E834BB" w:rsidRPr="00A60FED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陶森大学</w:t>
            </w:r>
          </w:p>
        </w:tc>
        <w:tc>
          <w:tcPr>
            <w:tcW w:w="798" w:type="dxa"/>
            <w:vAlign w:val="center"/>
          </w:tcPr>
          <w:p w:rsidR="00E834BB" w:rsidRPr="00A60FED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A60FED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学分</w:t>
            </w:r>
          </w:p>
        </w:tc>
      </w:tr>
      <w:tr w:rsidR="00E834BB" w:rsidRPr="00FC37A5" w:rsidTr="00AA21CA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:rsidR="002D4BAF" w:rsidRDefault="00E834BB" w:rsidP="002D4BA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834BB">
              <w:rPr>
                <w:rFonts w:ascii="宋体" w:eastAsia="宋体" w:hAnsi="宋体" w:cs="宋体" w:hint="eastAsia"/>
                <w:sz w:val="24"/>
                <w:szCs w:val="24"/>
              </w:rPr>
              <w:t>必修课</w:t>
            </w:r>
          </w:p>
          <w:p w:rsidR="00E834BB" w:rsidRPr="00A60FED" w:rsidRDefault="002D4BAF" w:rsidP="002D4BAF">
            <w:pPr>
              <w:spacing w:line="360" w:lineRule="auto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</w:t>
            </w:r>
            <w:r>
              <w:rPr>
                <w:rFonts w:ascii="宋体" w:eastAsia="宋体" w:hAnsi="宋体" w:cs="宋体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学分）</w:t>
            </w:r>
          </w:p>
        </w:tc>
        <w:tc>
          <w:tcPr>
            <w:tcW w:w="1843" w:type="dxa"/>
            <w:vAlign w:val="center"/>
          </w:tcPr>
          <w:p w:rsidR="00E834BB" w:rsidRPr="001966B4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966B4">
              <w:rPr>
                <w:rFonts w:ascii="宋体" w:eastAsia="宋体" w:hAnsi="宋体" w:cs="宋体" w:hint="eastAsia"/>
                <w:sz w:val="24"/>
                <w:szCs w:val="24"/>
              </w:rPr>
              <w:t>寿险精算学</w:t>
            </w:r>
          </w:p>
        </w:tc>
        <w:tc>
          <w:tcPr>
            <w:tcW w:w="708" w:type="dxa"/>
            <w:vAlign w:val="center"/>
          </w:tcPr>
          <w:p w:rsidR="00E834BB" w:rsidRPr="00FC37A5" w:rsidRDefault="00E834BB" w:rsidP="00A60FE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834BB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精算学概论</w:t>
            </w:r>
          </w:p>
          <w:p w:rsidR="00212A65" w:rsidRDefault="00212A65" w:rsidP="00A60FED">
            <w:pPr>
              <w:spacing w:line="360" w:lineRule="auto"/>
              <w:jc w:val="center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212A65">
              <w:rPr>
                <w:rFonts w:ascii="TimesNewRomanPSMT" w:eastAsia="TimesNewRomanPSMT" w:cs="TimesNewRomanPSMT"/>
                <w:kern w:val="0"/>
                <w:szCs w:val="21"/>
              </w:rPr>
              <w:t xml:space="preserve">MATH 390 </w:t>
            </w:r>
          </w:p>
          <w:p w:rsidR="00212A65" w:rsidRPr="00212A65" w:rsidRDefault="00212A65" w:rsidP="00A60FE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212A65">
              <w:rPr>
                <w:rFonts w:ascii="TimesNewRomanPSMT" w:eastAsia="TimesNewRomanPSMT" w:cs="TimesNewRomanPSMT"/>
                <w:kern w:val="0"/>
                <w:szCs w:val="21"/>
              </w:rPr>
              <w:t>INTRODUCTION TO ACTUARIAL SCIENCE</w:t>
            </w:r>
          </w:p>
        </w:tc>
        <w:tc>
          <w:tcPr>
            <w:tcW w:w="798" w:type="dxa"/>
            <w:vAlign w:val="center"/>
          </w:tcPr>
          <w:p w:rsidR="00E834BB" w:rsidRPr="00FC37A5" w:rsidRDefault="00E834BB" w:rsidP="00A60FE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E834BB" w:rsidRPr="00FC37A5" w:rsidTr="00AA21CA">
        <w:trPr>
          <w:trHeight w:val="283"/>
          <w:jc w:val="center"/>
        </w:trPr>
        <w:tc>
          <w:tcPr>
            <w:tcW w:w="846" w:type="dxa"/>
            <w:vMerge/>
          </w:tcPr>
          <w:p w:rsidR="00E834BB" w:rsidRPr="00A60FED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34BB" w:rsidRPr="001966B4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966B4">
              <w:rPr>
                <w:rFonts w:ascii="宋体" w:eastAsia="宋体" w:hAnsi="宋体" w:cs="宋体" w:hint="eastAsia"/>
                <w:sz w:val="24"/>
                <w:szCs w:val="24"/>
              </w:rPr>
              <w:t>非寿险精算学</w:t>
            </w:r>
          </w:p>
        </w:tc>
        <w:tc>
          <w:tcPr>
            <w:tcW w:w="708" w:type="dxa"/>
            <w:vAlign w:val="center"/>
          </w:tcPr>
          <w:p w:rsidR="00E834BB" w:rsidRPr="00FC37A5" w:rsidRDefault="00E834BB" w:rsidP="00A60FE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834BB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计算概率模型</w:t>
            </w:r>
          </w:p>
          <w:p w:rsidR="00F81F63" w:rsidRDefault="00F81F63" w:rsidP="00A60FED">
            <w:pPr>
              <w:spacing w:line="360" w:lineRule="auto"/>
              <w:jc w:val="center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F81F63">
              <w:rPr>
                <w:rFonts w:ascii="TimesNewRomanPSMT" w:eastAsia="TimesNewRomanPSMT" w:cs="TimesNewRomanPSMT"/>
                <w:kern w:val="0"/>
                <w:szCs w:val="21"/>
              </w:rPr>
              <w:t xml:space="preserve">MATH 439 </w:t>
            </w:r>
          </w:p>
          <w:p w:rsidR="00F81F63" w:rsidRPr="00F81F63" w:rsidRDefault="00F81F63" w:rsidP="00A60FE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81F63">
              <w:rPr>
                <w:rFonts w:ascii="TimesNewRomanPSMT" w:eastAsia="TimesNewRomanPSMT" w:cs="TimesNewRomanPSMT"/>
                <w:kern w:val="0"/>
                <w:szCs w:val="21"/>
              </w:rPr>
              <w:t>COMPUTATIONAL PROBABILITY MODELS</w:t>
            </w:r>
          </w:p>
        </w:tc>
        <w:tc>
          <w:tcPr>
            <w:tcW w:w="798" w:type="dxa"/>
            <w:vAlign w:val="center"/>
          </w:tcPr>
          <w:p w:rsidR="00E834BB" w:rsidRPr="00FC37A5" w:rsidRDefault="00E834BB" w:rsidP="00A60FE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E834BB" w:rsidRPr="00FC37A5" w:rsidTr="00AA21CA">
        <w:trPr>
          <w:trHeight w:val="283"/>
          <w:jc w:val="center"/>
        </w:trPr>
        <w:tc>
          <w:tcPr>
            <w:tcW w:w="846" w:type="dxa"/>
            <w:vMerge/>
          </w:tcPr>
          <w:p w:rsidR="00E834BB" w:rsidRPr="00A60FED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34BB" w:rsidRPr="001966B4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966B4">
              <w:rPr>
                <w:rFonts w:ascii="宋体" w:eastAsia="宋体" w:hAnsi="宋体" w:cs="宋体" w:hint="eastAsia"/>
                <w:sz w:val="24"/>
                <w:szCs w:val="24"/>
              </w:rPr>
              <w:t>精算数学</w:t>
            </w:r>
          </w:p>
        </w:tc>
        <w:tc>
          <w:tcPr>
            <w:tcW w:w="708" w:type="dxa"/>
            <w:vAlign w:val="center"/>
          </w:tcPr>
          <w:p w:rsidR="00E834BB" w:rsidRPr="00FC37A5" w:rsidRDefault="00E834BB" w:rsidP="00A60FE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E834BB" w:rsidRDefault="00E834BB" w:rsidP="00A60FE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金融数学</w:t>
            </w:r>
          </w:p>
          <w:p w:rsidR="009D6558" w:rsidRDefault="009D6558" w:rsidP="00A60FED">
            <w:pPr>
              <w:spacing w:line="360" w:lineRule="auto"/>
              <w:jc w:val="center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9D6558">
              <w:rPr>
                <w:rFonts w:ascii="TimesNewRomanPSMT" w:eastAsia="TimesNewRomanPSMT" w:cs="TimesNewRomanPSMT"/>
                <w:kern w:val="0"/>
                <w:szCs w:val="21"/>
              </w:rPr>
              <w:t xml:space="preserve">MATH 485 </w:t>
            </w:r>
          </w:p>
          <w:p w:rsidR="009D6558" w:rsidRPr="009D6558" w:rsidRDefault="009D6558" w:rsidP="00A60FED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9D6558">
              <w:rPr>
                <w:rFonts w:ascii="TimesNewRomanPSMT" w:eastAsia="TimesNewRomanPSMT" w:cs="TimesNewRomanPSMT"/>
                <w:kern w:val="0"/>
                <w:szCs w:val="21"/>
              </w:rPr>
              <w:t>MATHEMATICAL FINANCE</w:t>
            </w:r>
          </w:p>
        </w:tc>
        <w:tc>
          <w:tcPr>
            <w:tcW w:w="798" w:type="dxa"/>
            <w:vAlign w:val="center"/>
          </w:tcPr>
          <w:p w:rsidR="00E834BB" w:rsidRPr="00FC37A5" w:rsidRDefault="00E834BB" w:rsidP="00A60FED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E834BB" w:rsidRPr="00FC37A5" w:rsidTr="00AA21CA">
        <w:trPr>
          <w:trHeight w:val="283"/>
          <w:jc w:val="center"/>
        </w:trPr>
        <w:tc>
          <w:tcPr>
            <w:tcW w:w="846" w:type="dxa"/>
            <w:vMerge/>
          </w:tcPr>
          <w:p w:rsidR="00E834BB" w:rsidRPr="00A60FED" w:rsidRDefault="00E834BB" w:rsidP="00486348">
            <w:pPr>
              <w:spacing w:line="360" w:lineRule="auto"/>
              <w:jc w:val="center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834BB" w:rsidRPr="001966B4" w:rsidRDefault="00E834BB" w:rsidP="0048634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966B4">
              <w:rPr>
                <w:rFonts w:ascii="宋体" w:eastAsia="宋体" w:hAnsi="宋体" w:cs="宋体" w:hint="eastAsia"/>
                <w:sz w:val="24"/>
                <w:szCs w:val="24"/>
              </w:rPr>
              <w:t>风险管理</w:t>
            </w:r>
          </w:p>
        </w:tc>
        <w:tc>
          <w:tcPr>
            <w:tcW w:w="708" w:type="dxa"/>
            <w:vAlign w:val="center"/>
          </w:tcPr>
          <w:p w:rsidR="00E834BB" w:rsidRPr="00FC37A5" w:rsidRDefault="00E834BB" w:rsidP="0048634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E834BB" w:rsidRDefault="00E834BB" w:rsidP="00486348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风险管理与金融工程</w:t>
            </w:r>
          </w:p>
          <w:p w:rsidR="00D745CA" w:rsidRDefault="00D745CA" w:rsidP="00486348">
            <w:pPr>
              <w:spacing w:line="360" w:lineRule="auto"/>
              <w:jc w:val="center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D745CA">
              <w:rPr>
                <w:rFonts w:ascii="TimesNewRomanPSMT" w:eastAsia="TimesNewRomanPSMT" w:cs="TimesNewRomanPSMT"/>
                <w:kern w:val="0"/>
                <w:szCs w:val="21"/>
              </w:rPr>
              <w:t xml:space="preserve">MATH 486 </w:t>
            </w:r>
          </w:p>
          <w:p w:rsidR="00D745CA" w:rsidRPr="00D745CA" w:rsidRDefault="00D745CA" w:rsidP="00486348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D745CA">
              <w:rPr>
                <w:rFonts w:ascii="TimesNewRomanPSMT" w:eastAsia="TimesNewRomanPSMT" w:cs="TimesNewRomanPSMT"/>
                <w:kern w:val="0"/>
                <w:szCs w:val="21"/>
              </w:rPr>
              <w:t>RISK MANAGEMENT AND FINANCIAL ENGINEERING</w:t>
            </w:r>
          </w:p>
        </w:tc>
        <w:tc>
          <w:tcPr>
            <w:tcW w:w="798" w:type="dxa"/>
            <w:vMerge w:val="restart"/>
            <w:vAlign w:val="center"/>
          </w:tcPr>
          <w:p w:rsidR="00E834BB" w:rsidRPr="00FC37A5" w:rsidRDefault="00E834BB" w:rsidP="0048634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1C489F" w:rsidRPr="00FC37A5" w:rsidTr="00AA21CA">
        <w:trPr>
          <w:trHeight w:val="283"/>
          <w:jc w:val="center"/>
        </w:trPr>
        <w:tc>
          <w:tcPr>
            <w:tcW w:w="846" w:type="dxa"/>
            <w:vMerge w:val="restart"/>
            <w:vAlign w:val="center"/>
          </w:tcPr>
          <w:p w:rsidR="001C489F" w:rsidRDefault="001C489F" w:rsidP="005359D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选修课</w:t>
            </w:r>
          </w:p>
          <w:p w:rsidR="001C489F" w:rsidRPr="00FC37A5" w:rsidRDefault="001C489F" w:rsidP="005359D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（9学分）</w:t>
            </w:r>
          </w:p>
        </w:tc>
        <w:tc>
          <w:tcPr>
            <w:tcW w:w="1843" w:type="dxa"/>
            <w:vAlign w:val="center"/>
          </w:tcPr>
          <w:p w:rsidR="001C489F" w:rsidRPr="00881D88" w:rsidRDefault="001C489F" w:rsidP="0048634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1D88">
              <w:rPr>
                <w:rFonts w:ascii="宋体" w:eastAsia="宋体" w:hAnsi="宋体" w:cs="宋体" w:hint="eastAsia"/>
                <w:sz w:val="24"/>
                <w:szCs w:val="24"/>
              </w:rPr>
              <w:t>保险产品创新</w:t>
            </w:r>
          </w:p>
        </w:tc>
        <w:tc>
          <w:tcPr>
            <w:tcW w:w="708" w:type="dxa"/>
            <w:vAlign w:val="center"/>
          </w:tcPr>
          <w:p w:rsidR="001C489F" w:rsidRPr="00FC37A5" w:rsidRDefault="001C489F" w:rsidP="00486348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C489F" w:rsidRPr="00FC37A5" w:rsidRDefault="001C489F" w:rsidP="00486348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:rsidR="001C489F" w:rsidRPr="00FC37A5" w:rsidRDefault="001C489F" w:rsidP="00486348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</w:tr>
      <w:tr w:rsidR="00AF05B6" w:rsidRPr="00FC37A5" w:rsidTr="00AA21CA">
        <w:trPr>
          <w:trHeight w:val="283"/>
          <w:jc w:val="center"/>
        </w:trPr>
        <w:tc>
          <w:tcPr>
            <w:tcW w:w="846" w:type="dxa"/>
            <w:vMerge/>
          </w:tcPr>
          <w:p w:rsidR="00AF05B6" w:rsidRPr="00FC37A5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05B6" w:rsidRPr="00881D88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1D88">
              <w:rPr>
                <w:rFonts w:ascii="宋体" w:eastAsia="宋体" w:hAnsi="宋体" w:cs="宋体" w:hint="eastAsia"/>
                <w:sz w:val="24"/>
                <w:szCs w:val="24"/>
              </w:rPr>
              <w:t>时间序列分析</w:t>
            </w:r>
          </w:p>
        </w:tc>
        <w:tc>
          <w:tcPr>
            <w:tcW w:w="708" w:type="dxa"/>
            <w:vAlign w:val="center"/>
          </w:tcPr>
          <w:p w:rsidR="00AF05B6" w:rsidRPr="00FC37A5" w:rsidRDefault="00AF05B6" w:rsidP="00AF05B6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F05B6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应用回归和时间序列分析</w:t>
            </w:r>
          </w:p>
          <w:p w:rsidR="004D6F02" w:rsidRDefault="004D6F02" w:rsidP="00AF05B6">
            <w:pPr>
              <w:spacing w:line="360" w:lineRule="auto"/>
              <w:jc w:val="center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4D6F02">
              <w:rPr>
                <w:rFonts w:ascii="TimesNewRomanPSMT" w:eastAsia="TimesNewRomanPSMT" w:cs="TimesNewRomanPSMT"/>
                <w:kern w:val="0"/>
                <w:szCs w:val="21"/>
              </w:rPr>
              <w:t xml:space="preserve">MATH 337 </w:t>
            </w:r>
          </w:p>
          <w:p w:rsidR="004D6F02" w:rsidRPr="004D6F02" w:rsidRDefault="004D6F02" w:rsidP="00AF05B6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 w:rsidRPr="004D6F02">
              <w:rPr>
                <w:rFonts w:ascii="TimesNewRomanPSMT" w:eastAsia="TimesNewRomanPSMT" w:cs="TimesNewRomanPSMT"/>
                <w:kern w:val="0"/>
                <w:szCs w:val="21"/>
              </w:rPr>
              <w:t>APPLIED REGRESSION AND TIME SERIES ANALYSIS</w:t>
            </w:r>
          </w:p>
        </w:tc>
        <w:tc>
          <w:tcPr>
            <w:tcW w:w="798" w:type="dxa"/>
            <w:vAlign w:val="center"/>
          </w:tcPr>
          <w:p w:rsidR="00AF05B6" w:rsidRPr="00FC37A5" w:rsidRDefault="00AF05B6" w:rsidP="00AF05B6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</w:tr>
      <w:tr w:rsidR="00AF05B6" w:rsidRPr="00FC37A5" w:rsidTr="00AA21CA">
        <w:trPr>
          <w:trHeight w:val="283"/>
          <w:jc w:val="center"/>
        </w:trPr>
        <w:tc>
          <w:tcPr>
            <w:tcW w:w="846" w:type="dxa"/>
            <w:vMerge/>
          </w:tcPr>
          <w:p w:rsidR="00AF05B6" w:rsidRPr="00FC37A5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05B6" w:rsidRPr="00881D88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1D88">
              <w:rPr>
                <w:rFonts w:ascii="宋体" w:eastAsia="宋体" w:hAnsi="宋体" w:cs="宋体" w:hint="eastAsia"/>
                <w:sz w:val="24"/>
                <w:szCs w:val="24"/>
              </w:rPr>
              <w:t>精算模型</w:t>
            </w:r>
          </w:p>
        </w:tc>
        <w:tc>
          <w:tcPr>
            <w:tcW w:w="708" w:type="dxa"/>
            <w:vAlign w:val="center"/>
          </w:tcPr>
          <w:p w:rsidR="00AF05B6" w:rsidRPr="00FC37A5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AF05B6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精算模型</w:t>
            </w:r>
          </w:p>
          <w:p w:rsidR="00172318" w:rsidRDefault="00172318" w:rsidP="00AF05B6">
            <w:pPr>
              <w:spacing w:line="360" w:lineRule="auto"/>
              <w:jc w:val="center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172318">
              <w:rPr>
                <w:rFonts w:ascii="TimesNewRomanPSMT" w:eastAsia="TimesNewRomanPSMT" w:cs="TimesNewRomanPSMT"/>
                <w:kern w:val="0"/>
                <w:szCs w:val="21"/>
              </w:rPr>
              <w:t xml:space="preserve">MATH 438 </w:t>
            </w:r>
          </w:p>
          <w:p w:rsidR="00172318" w:rsidRPr="00172318" w:rsidRDefault="00172318" w:rsidP="00AF05B6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172318">
              <w:rPr>
                <w:rFonts w:ascii="TimesNewRomanPSMT" w:eastAsia="TimesNewRomanPSMT" w:cs="TimesNewRomanPSMT"/>
                <w:kern w:val="0"/>
                <w:szCs w:val="21"/>
              </w:rPr>
              <w:t>ACTUARIAL MODELS</w:t>
            </w:r>
          </w:p>
        </w:tc>
        <w:tc>
          <w:tcPr>
            <w:tcW w:w="798" w:type="dxa"/>
            <w:vMerge w:val="restart"/>
            <w:vAlign w:val="center"/>
          </w:tcPr>
          <w:p w:rsidR="00AF05B6" w:rsidRPr="00FC37A5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AF05B6" w:rsidRPr="00FC37A5" w:rsidTr="00AA21CA">
        <w:trPr>
          <w:trHeight w:val="283"/>
          <w:jc w:val="center"/>
        </w:trPr>
        <w:tc>
          <w:tcPr>
            <w:tcW w:w="846" w:type="dxa"/>
            <w:vMerge/>
          </w:tcPr>
          <w:p w:rsidR="00AF05B6" w:rsidRPr="00FC37A5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05B6" w:rsidRPr="00881D88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1D88">
              <w:rPr>
                <w:rFonts w:ascii="宋体" w:eastAsia="宋体" w:hAnsi="宋体" w:cs="宋体" w:hint="eastAsia"/>
                <w:sz w:val="24"/>
                <w:szCs w:val="24"/>
              </w:rPr>
              <w:t>精算管理</w:t>
            </w:r>
          </w:p>
        </w:tc>
        <w:tc>
          <w:tcPr>
            <w:tcW w:w="708" w:type="dxa"/>
            <w:vAlign w:val="center"/>
          </w:tcPr>
          <w:p w:rsidR="00AF05B6" w:rsidRDefault="00AF05B6" w:rsidP="00AF05B6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AF05B6" w:rsidRPr="00FC37A5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:rsidR="00AF05B6" w:rsidRPr="00FC37A5" w:rsidRDefault="00AF05B6" w:rsidP="00AF05B6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</w:tr>
      <w:tr w:rsidR="00AF05B6" w:rsidRPr="00FC37A5" w:rsidTr="00AA21CA">
        <w:trPr>
          <w:trHeight w:val="283"/>
          <w:jc w:val="center"/>
        </w:trPr>
        <w:tc>
          <w:tcPr>
            <w:tcW w:w="846" w:type="dxa"/>
            <w:vMerge/>
          </w:tcPr>
          <w:p w:rsidR="00AF05B6" w:rsidRPr="00FC37A5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F05B6" w:rsidRPr="00881D88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81D88">
              <w:rPr>
                <w:rFonts w:ascii="宋体" w:eastAsia="宋体" w:hAnsi="宋体" w:cs="宋体" w:hint="eastAsia"/>
                <w:sz w:val="24"/>
                <w:szCs w:val="24"/>
              </w:rPr>
              <w:t>投资学</w:t>
            </w:r>
          </w:p>
        </w:tc>
        <w:tc>
          <w:tcPr>
            <w:tcW w:w="708" w:type="dxa"/>
            <w:vAlign w:val="center"/>
          </w:tcPr>
          <w:p w:rsidR="00AF05B6" w:rsidRDefault="00AF05B6" w:rsidP="00AF05B6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F05B6" w:rsidRDefault="00AF05B6" w:rsidP="00AF05B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财务管理原理</w:t>
            </w:r>
          </w:p>
          <w:p w:rsidR="00D00805" w:rsidRDefault="00D00805" w:rsidP="00AF05B6">
            <w:pPr>
              <w:spacing w:line="360" w:lineRule="auto"/>
              <w:jc w:val="center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D00805">
              <w:rPr>
                <w:rFonts w:ascii="TimesNewRomanPSMT" w:eastAsia="TimesNewRomanPSMT" w:cs="TimesNewRomanPSMT"/>
                <w:kern w:val="0"/>
                <w:szCs w:val="21"/>
              </w:rPr>
              <w:t xml:space="preserve">FIN 331 </w:t>
            </w:r>
          </w:p>
          <w:p w:rsidR="00D00805" w:rsidRPr="00D00805" w:rsidRDefault="00D00805" w:rsidP="00AF05B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00805">
              <w:rPr>
                <w:rFonts w:ascii="TimesNewRomanPSMT" w:eastAsia="TimesNewRomanPSMT" w:cs="TimesNewRomanPSMT"/>
                <w:kern w:val="0"/>
                <w:szCs w:val="21"/>
              </w:rPr>
              <w:t>PRINCIPLES OF FINANCIAL MANAGEMENT</w:t>
            </w:r>
          </w:p>
        </w:tc>
        <w:tc>
          <w:tcPr>
            <w:tcW w:w="798" w:type="dxa"/>
            <w:vAlign w:val="center"/>
          </w:tcPr>
          <w:p w:rsidR="00AF05B6" w:rsidRPr="00FC37A5" w:rsidRDefault="00AF05B6" w:rsidP="00AF05B6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</w:tbl>
    <w:p w:rsidR="008B7012" w:rsidRDefault="00297795" w:rsidP="002818A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实践</w:t>
      </w:r>
      <w:r w:rsidR="002E73D6">
        <w:rPr>
          <w:rFonts w:ascii="宋体" w:eastAsia="宋体" w:hAnsi="宋体" w:hint="eastAsia"/>
          <w:sz w:val="28"/>
          <w:szCs w:val="28"/>
        </w:rPr>
        <w:t>课平台</w:t>
      </w:r>
      <w:r w:rsidR="00463224">
        <w:rPr>
          <w:rFonts w:ascii="宋体" w:eastAsia="宋体" w:hAnsi="宋体" w:hint="eastAsia"/>
          <w:sz w:val="28"/>
          <w:szCs w:val="28"/>
        </w:rPr>
        <w:t>(专业相关</w:t>
      </w:r>
      <w:r w:rsidR="00463224">
        <w:rPr>
          <w:rFonts w:ascii="宋体" w:eastAsia="宋体" w:hAnsi="宋体"/>
          <w:sz w:val="28"/>
          <w:szCs w:val="28"/>
        </w:rPr>
        <w:t>)</w:t>
      </w:r>
    </w:p>
    <w:p w:rsidR="00747C04" w:rsidRDefault="00C237A8" w:rsidP="00747C0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在我校的培养方案中，在三、四年级开设的实践环节的专业相关的课程约有2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分。</w:t>
      </w:r>
      <w:r w:rsidR="00E55444">
        <w:rPr>
          <w:rFonts w:ascii="宋体" w:eastAsia="宋体" w:hAnsi="宋体" w:hint="eastAsia"/>
          <w:sz w:val="28"/>
          <w:szCs w:val="28"/>
        </w:rPr>
        <w:t>在</w:t>
      </w:r>
      <w:r w:rsidR="007B4B10">
        <w:rPr>
          <w:rFonts w:ascii="宋体" w:eastAsia="宋体" w:hAnsi="宋体" w:hint="eastAsia"/>
          <w:sz w:val="28"/>
          <w:szCs w:val="28"/>
        </w:rPr>
        <w:t>表2</w:t>
      </w:r>
      <w:r w:rsidR="00E55444">
        <w:rPr>
          <w:rFonts w:ascii="宋体" w:eastAsia="宋体" w:hAnsi="宋体" w:hint="eastAsia"/>
          <w:sz w:val="28"/>
          <w:szCs w:val="28"/>
        </w:rPr>
        <w:t>中，列出了我校精算专业的部分实践课程（每年有所不同</w:t>
      </w:r>
      <w:r w:rsidR="000A7082">
        <w:rPr>
          <w:rFonts w:ascii="宋体" w:eastAsia="宋体" w:hAnsi="宋体" w:hint="eastAsia"/>
          <w:sz w:val="28"/>
          <w:szCs w:val="28"/>
        </w:rPr>
        <w:t>，在前两学年中的实践课程也未列出</w:t>
      </w:r>
      <w:r w:rsidR="00E55444">
        <w:rPr>
          <w:rFonts w:ascii="宋体" w:eastAsia="宋体" w:hAnsi="宋体" w:hint="eastAsia"/>
          <w:sz w:val="28"/>
          <w:szCs w:val="28"/>
        </w:rPr>
        <w:t>）。</w:t>
      </w:r>
      <w:r w:rsidR="0038197A">
        <w:rPr>
          <w:rFonts w:ascii="宋体" w:eastAsia="宋体" w:hAnsi="宋体" w:hint="eastAsia"/>
          <w:sz w:val="28"/>
          <w:szCs w:val="28"/>
        </w:rPr>
        <w:t>尽管陶森大学没有毕业论文、毕业实习对应的课程，但其他课程和环节可以起到替代作用。</w:t>
      </w:r>
    </w:p>
    <w:p w:rsidR="00747C04" w:rsidRDefault="00747C04" w:rsidP="00747C0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关于毕业论文，陶森大学没有成文要求，</w:t>
      </w:r>
      <w:r w:rsidR="00335AB0">
        <w:rPr>
          <w:rFonts w:ascii="宋体" w:eastAsia="宋体" w:hAnsi="宋体" w:hint="eastAsia"/>
          <w:sz w:val="28"/>
          <w:szCs w:val="28"/>
        </w:rPr>
        <w:t>要求学生按照我校的毕</w:t>
      </w:r>
      <w:r w:rsidR="00335AB0">
        <w:rPr>
          <w:rFonts w:ascii="宋体" w:eastAsia="宋体" w:hAnsi="宋体" w:hint="eastAsia"/>
          <w:sz w:val="28"/>
          <w:szCs w:val="28"/>
        </w:rPr>
        <w:lastRenderedPageBreak/>
        <w:t>业论文要求完成。</w:t>
      </w:r>
    </w:p>
    <w:p w:rsidR="00251613" w:rsidRDefault="00747C04" w:rsidP="00747C04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关于毕业实习，陶森大学没有具体要求，但是，</w:t>
      </w:r>
      <w:r w:rsidRPr="004420E3">
        <w:rPr>
          <w:rFonts w:ascii="宋体" w:eastAsia="宋体" w:hAnsi="宋体" w:hint="eastAsia"/>
          <w:sz w:val="28"/>
          <w:szCs w:val="28"/>
        </w:rPr>
        <w:t>精算与风险管理项目</w:t>
      </w:r>
      <w:r>
        <w:rPr>
          <w:rFonts w:ascii="宋体" w:eastAsia="宋体" w:hAnsi="宋体" w:hint="eastAsia"/>
          <w:sz w:val="28"/>
          <w:szCs w:val="28"/>
        </w:rPr>
        <w:t>培养方案中要求学生的学习紧扣行业及北美</w:t>
      </w:r>
      <w:r w:rsidRPr="00910E3F">
        <w:rPr>
          <w:rFonts w:ascii="宋体" w:eastAsia="宋体" w:hAnsi="宋体" w:hint="eastAsia"/>
          <w:sz w:val="28"/>
          <w:szCs w:val="28"/>
        </w:rPr>
        <w:t>精算师协会</w:t>
      </w:r>
      <w:r>
        <w:rPr>
          <w:rFonts w:ascii="宋体" w:eastAsia="宋体" w:hAnsi="宋体" w:hint="eastAsia"/>
          <w:sz w:val="28"/>
          <w:szCs w:val="28"/>
        </w:rPr>
        <w:t>需求或要求，并要求学生在毕业前通过SOA两门课的考试才可申请学位。此外，在陶森期间，学生还参与助教工作、从事兼职等进行锻炼。</w:t>
      </w:r>
      <w:r w:rsidR="00335AB0">
        <w:rPr>
          <w:rFonts w:ascii="宋体" w:eastAsia="宋体" w:hAnsi="宋体" w:hint="eastAsia"/>
          <w:sz w:val="28"/>
          <w:szCs w:val="28"/>
        </w:rPr>
        <w:t>要求学生一方面可以根据我校的毕业实习要求完成，另一方面也可以将美国学习两年期间的学习、实习、兼职等情况每年完成一份总结报告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0E586E" w:rsidRDefault="000E586E" w:rsidP="000E586E">
      <w:pPr>
        <w:pStyle w:val="a5"/>
        <w:spacing w:line="360" w:lineRule="auto"/>
        <w:ind w:left="920" w:firstLineChars="0" w:firstLine="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表2： 两校的实践</w:t>
      </w:r>
      <w:r w:rsidR="00EC793D">
        <w:rPr>
          <w:rFonts w:ascii="宋体" w:eastAsia="宋体" w:hAnsi="宋体" w:hint="eastAsia"/>
          <w:sz w:val="28"/>
          <w:szCs w:val="28"/>
        </w:rPr>
        <w:t>课</w:t>
      </w:r>
      <w:r>
        <w:rPr>
          <w:rFonts w:ascii="宋体" w:eastAsia="宋体" w:hAnsi="宋体" w:hint="eastAsia"/>
          <w:sz w:val="28"/>
          <w:szCs w:val="28"/>
        </w:rPr>
        <w:t>对照表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9"/>
        <w:gridCol w:w="708"/>
        <w:gridCol w:w="3402"/>
        <w:gridCol w:w="851"/>
      </w:tblGrid>
      <w:tr w:rsidR="006E2471" w:rsidRPr="00FC37A5" w:rsidTr="00AA21CA">
        <w:trPr>
          <w:trHeight w:val="283"/>
          <w:jc w:val="center"/>
        </w:trPr>
        <w:tc>
          <w:tcPr>
            <w:tcW w:w="2689" w:type="dxa"/>
            <w:vAlign w:val="center"/>
          </w:tcPr>
          <w:p w:rsidR="006E2471" w:rsidRPr="00FC37A5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上海立信会计金融学院</w:t>
            </w:r>
          </w:p>
        </w:tc>
        <w:tc>
          <w:tcPr>
            <w:tcW w:w="708" w:type="dxa"/>
            <w:vAlign w:val="center"/>
          </w:tcPr>
          <w:p w:rsidR="006E2471" w:rsidRPr="00FC37A5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 w:hint="eastAsia"/>
                <w:b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471" w:rsidRPr="00FC37A5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陶森大学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2471" w:rsidRPr="00FC37A5" w:rsidRDefault="006E2471" w:rsidP="006E2471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 w:hint="eastAsia"/>
                <w:b/>
                <w:color w:val="000000"/>
                <w:sz w:val="24"/>
                <w:szCs w:val="24"/>
              </w:rPr>
              <w:t>学分</w:t>
            </w:r>
          </w:p>
        </w:tc>
      </w:tr>
      <w:tr w:rsidR="006E2471" w:rsidRPr="00FC37A5" w:rsidTr="00AA21CA">
        <w:trPr>
          <w:trHeight w:val="283"/>
          <w:jc w:val="center"/>
        </w:trPr>
        <w:tc>
          <w:tcPr>
            <w:tcW w:w="2689" w:type="dxa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宋体" w:eastAsia="宋体" w:hAnsi="宋体" w:cs="宋体" w:hint="eastAsia"/>
                <w:sz w:val="24"/>
                <w:szCs w:val="24"/>
              </w:rPr>
              <w:t>保险精算论文写作</w:t>
            </w:r>
          </w:p>
        </w:tc>
        <w:tc>
          <w:tcPr>
            <w:tcW w:w="708" w:type="dxa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E2471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商务和行业写作</w:t>
            </w:r>
          </w:p>
          <w:p w:rsidR="00375523" w:rsidRDefault="00375523" w:rsidP="006E2471">
            <w:pPr>
              <w:spacing w:line="360" w:lineRule="auto"/>
              <w:jc w:val="center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375523">
              <w:rPr>
                <w:rFonts w:ascii="TimesNewRomanPSMT" w:eastAsia="TimesNewRomanPSMT" w:cs="TimesNewRomanPSMT"/>
                <w:kern w:val="0"/>
                <w:szCs w:val="21"/>
              </w:rPr>
              <w:t xml:space="preserve">ENGL 317 </w:t>
            </w:r>
          </w:p>
          <w:p w:rsidR="00375523" w:rsidRPr="00375523" w:rsidRDefault="00375523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375523">
              <w:rPr>
                <w:rFonts w:ascii="TimesNewRomanPSMT" w:eastAsia="TimesNewRomanPSMT" w:cs="TimesNewRomanPSMT"/>
                <w:kern w:val="0"/>
                <w:szCs w:val="21"/>
              </w:rPr>
              <w:t>WRITING FOR BUSINESS AND INDUSTRY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35206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6E2471" w:rsidRPr="00FC37A5" w:rsidTr="00AA21CA">
        <w:trPr>
          <w:trHeight w:val="283"/>
          <w:jc w:val="center"/>
        </w:trPr>
        <w:tc>
          <w:tcPr>
            <w:tcW w:w="2689" w:type="dxa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宋体" w:eastAsia="宋体" w:hAnsi="宋体" w:cs="宋体" w:hint="eastAsia"/>
                <w:sz w:val="24"/>
                <w:szCs w:val="24"/>
              </w:rPr>
              <w:t>保险数据挖掘</w:t>
            </w:r>
          </w:p>
        </w:tc>
        <w:tc>
          <w:tcPr>
            <w:tcW w:w="708" w:type="dxa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E2471" w:rsidRDefault="006E2471" w:rsidP="006E2471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3520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计算机科学导论</w:t>
            </w:r>
            <w:r w:rsidRPr="00835206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</w:t>
            </w:r>
          </w:p>
          <w:p w:rsidR="00375523" w:rsidRDefault="00375523" w:rsidP="006E2471">
            <w:pPr>
              <w:spacing w:line="360" w:lineRule="auto"/>
              <w:jc w:val="center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375523">
              <w:rPr>
                <w:rFonts w:ascii="TimesNewRomanPSMT" w:eastAsia="TimesNewRomanPSMT" w:cs="TimesNewRomanPSMT"/>
                <w:kern w:val="0"/>
                <w:szCs w:val="21"/>
              </w:rPr>
              <w:t xml:space="preserve">COSC 236 </w:t>
            </w:r>
          </w:p>
          <w:p w:rsidR="00375523" w:rsidRPr="00835206" w:rsidRDefault="00375523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375523">
              <w:rPr>
                <w:rFonts w:ascii="TimesNewRomanPSMT" w:eastAsia="TimesNewRomanPSMT" w:cs="TimesNewRomanPSMT"/>
                <w:kern w:val="0"/>
                <w:szCs w:val="21"/>
              </w:rPr>
              <w:t>Intro to Computer Science I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35206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</w:tr>
      <w:tr w:rsidR="006E2471" w:rsidRPr="00FC37A5" w:rsidTr="00AA21CA">
        <w:trPr>
          <w:trHeight w:val="283"/>
          <w:jc w:val="center"/>
        </w:trPr>
        <w:tc>
          <w:tcPr>
            <w:tcW w:w="2689" w:type="dxa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宋体" w:eastAsia="宋体" w:hAnsi="宋体" w:cs="宋体" w:hint="eastAsia"/>
                <w:sz w:val="24"/>
                <w:szCs w:val="24"/>
              </w:rPr>
              <w:t>统计综合模拟实验</w:t>
            </w:r>
          </w:p>
        </w:tc>
        <w:tc>
          <w:tcPr>
            <w:tcW w:w="708" w:type="dxa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E2471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高级精算模型</w:t>
            </w:r>
          </w:p>
          <w:p w:rsidR="00F31318" w:rsidRDefault="00F31318" w:rsidP="006E2471">
            <w:pPr>
              <w:spacing w:line="360" w:lineRule="auto"/>
              <w:jc w:val="center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F31318">
              <w:rPr>
                <w:rFonts w:ascii="TimesNewRomanPSMT" w:eastAsia="TimesNewRomanPSMT" w:cs="TimesNewRomanPSMT"/>
                <w:kern w:val="0"/>
                <w:szCs w:val="21"/>
              </w:rPr>
              <w:t xml:space="preserve">MATH 448 </w:t>
            </w:r>
          </w:p>
          <w:p w:rsidR="00F31318" w:rsidRPr="00F31318" w:rsidRDefault="00F31318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F31318">
              <w:rPr>
                <w:rFonts w:ascii="TimesNewRomanPSMT" w:eastAsia="TimesNewRomanPSMT" w:cs="TimesNewRomanPSMT"/>
                <w:kern w:val="0"/>
                <w:szCs w:val="21"/>
              </w:rPr>
              <w:t>ADVANCED ACTUARIAL MODELS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35206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6E2471" w:rsidRPr="00FC37A5" w:rsidTr="00AA21CA">
        <w:trPr>
          <w:trHeight w:val="283"/>
          <w:jc w:val="center"/>
        </w:trPr>
        <w:tc>
          <w:tcPr>
            <w:tcW w:w="2689" w:type="dxa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宋体" w:eastAsia="宋体" w:hAnsi="宋体" w:cs="宋体" w:hint="eastAsia"/>
                <w:sz w:val="24"/>
                <w:szCs w:val="24"/>
              </w:rPr>
              <w:t>寿险精算实务</w:t>
            </w:r>
          </w:p>
        </w:tc>
        <w:tc>
          <w:tcPr>
            <w:tcW w:w="708" w:type="dxa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Times New Roman" w:eastAsia="等线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6E2471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精算模型构建</w:t>
            </w:r>
          </w:p>
          <w:p w:rsidR="002603C1" w:rsidRDefault="002603C1" w:rsidP="006E2471">
            <w:pPr>
              <w:spacing w:line="360" w:lineRule="auto"/>
              <w:jc w:val="center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2603C1">
              <w:rPr>
                <w:rFonts w:ascii="TimesNewRomanPSMT" w:eastAsia="TimesNewRomanPSMT" w:cs="TimesNewRomanPSMT"/>
                <w:kern w:val="0"/>
                <w:szCs w:val="21"/>
              </w:rPr>
              <w:t xml:space="preserve">MATH 442 </w:t>
            </w:r>
          </w:p>
          <w:p w:rsidR="002603C1" w:rsidRPr="002603C1" w:rsidRDefault="002603C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2603C1">
              <w:rPr>
                <w:rFonts w:ascii="TimesNewRomanPSMT" w:eastAsia="TimesNewRomanPSMT" w:cs="TimesNewRomanPSMT"/>
                <w:kern w:val="0"/>
                <w:szCs w:val="21"/>
              </w:rPr>
              <w:t>ACTUARIAL MODEL CONSTRUCTION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835206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</w:tr>
      <w:tr w:rsidR="006E2471" w:rsidRPr="00FC37A5" w:rsidTr="00AA21CA">
        <w:trPr>
          <w:trHeight w:val="283"/>
          <w:jc w:val="center"/>
        </w:trPr>
        <w:tc>
          <w:tcPr>
            <w:tcW w:w="2689" w:type="dxa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宋体" w:eastAsia="宋体" w:hAnsi="宋体" w:cs="宋体" w:hint="eastAsia"/>
                <w:sz w:val="24"/>
                <w:szCs w:val="24"/>
              </w:rPr>
              <w:t>非寿险精算实务</w:t>
            </w:r>
          </w:p>
        </w:tc>
        <w:tc>
          <w:tcPr>
            <w:tcW w:w="708" w:type="dxa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E2471" w:rsidRPr="00835206" w:rsidRDefault="006E2471" w:rsidP="006E2471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</w:p>
        </w:tc>
      </w:tr>
      <w:tr w:rsidR="00F9221F" w:rsidRPr="00FC37A5" w:rsidTr="00F9221F">
        <w:trPr>
          <w:trHeight w:val="482"/>
          <w:jc w:val="center"/>
        </w:trPr>
        <w:tc>
          <w:tcPr>
            <w:tcW w:w="2689" w:type="dxa"/>
            <w:vAlign w:val="center"/>
          </w:tcPr>
          <w:p w:rsidR="00F9221F" w:rsidRPr="00430B46" w:rsidRDefault="00F9221F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宋体" w:eastAsia="宋体" w:hAnsi="宋体" w:cs="宋体" w:hint="eastAsia"/>
                <w:sz w:val="24"/>
                <w:szCs w:val="24"/>
              </w:rPr>
              <w:t>毕业论文</w:t>
            </w:r>
          </w:p>
        </w:tc>
        <w:tc>
          <w:tcPr>
            <w:tcW w:w="708" w:type="dxa"/>
            <w:vAlign w:val="center"/>
          </w:tcPr>
          <w:p w:rsidR="00F9221F" w:rsidRPr="00430B46" w:rsidRDefault="00F9221F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9221F" w:rsidRPr="008F3E8F" w:rsidRDefault="00F9221F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9221F" w:rsidRPr="00430B46" w:rsidRDefault="00F9221F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E2471" w:rsidRPr="00FC37A5" w:rsidTr="00AA21CA">
        <w:trPr>
          <w:trHeight w:val="283"/>
          <w:jc w:val="center"/>
        </w:trPr>
        <w:tc>
          <w:tcPr>
            <w:tcW w:w="2689" w:type="dxa"/>
            <w:vAlign w:val="center"/>
          </w:tcPr>
          <w:p w:rsidR="006E2471" w:rsidRPr="00430B4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宋体" w:eastAsia="宋体" w:hAnsi="宋体" w:cs="宋体" w:hint="eastAsia"/>
                <w:sz w:val="24"/>
                <w:szCs w:val="24"/>
              </w:rPr>
              <w:t>毕业实习</w:t>
            </w:r>
          </w:p>
        </w:tc>
        <w:tc>
          <w:tcPr>
            <w:tcW w:w="708" w:type="dxa"/>
            <w:vAlign w:val="center"/>
          </w:tcPr>
          <w:p w:rsidR="006E2471" w:rsidRPr="00430B4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835206"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471" w:rsidRPr="00430B4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E2471" w:rsidRPr="00430B4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E2471" w:rsidRPr="00FC37A5" w:rsidTr="00AA21CA">
        <w:trPr>
          <w:trHeight w:val="283"/>
          <w:jc w:val="center"/>
        </w:trPr>
        <w:tc>
          <w:tcPr>
            <w:tcW w:w="2689" w:type="dxa"/>
          </w:tcPr>
          <w:p w:rsidR="006E2471" w:rsidRPr="00430B4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lastRenderedPageBreak/>
              <w:t>…</w:t>
            </w:r>
          </w:p>
        </w:tc>
        <w:tc>
          <w:tcPr>
            <w:tcW w:w="708" w:type="dxa"/>
          </w:tcPr>
          <w:p w:rsidR="006E2471" w:rsidRPr="00430B4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6E2471" w:rsidRPr="00430B4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E2471" w:rsidRPr="00430B46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6E2471" w:rsidRPr="00FC37A5" w:rsidTr="00AA21CA">
        <w:trPr>
          <w:trHeight w:val="283"/>
          <w:jc w:val="center"/>
        </w:trPr>
        <w:tc>
          <w:tcPr>
            <w:tcW w:w="2689" w:type="dxa"/>
            <w:vAlign w:val="center"/>
          </w:tcPr>
          <w:p w:rsidR="006E2471" w:rsidRPr="00FC37A5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汇总</w:t>
            </w:r>
          </w:p>
        </w:tc>
        <w:tc>
          <w:tcPr>
            <w:tcW w:w="708" w:type="dxa"/>
            <w:vAlign w:val="center"/>
          </w:tcPr>
          <w:p w:rsidR="006E2471" w:rsidRPr="00FC37A5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471" w:rsidRPr="00FC37A5" w:rsidRDefault="006E2471" w:rsidP="006E247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C37A5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汇总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E2471" w:rsidRPr="00FC37A5" w:rsidRDefault="00445A05" w:rsidP="006E2471">
            <w:pPr>
              <w:spacing w:line="360" w:lineRule="auto"/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FC37A5">
              <w:rPr>
                <w:rFonts w:ascii="Times New Roman" w:eastAsia="等线" w:hAnsi="Times New Roman" w:cs="Times New Roman"/>
                <w:sz w:val="24"/>
                <w:szCs w:val="24"/>
              </w:rPr>
              <w:fldChar w:fldCharType="begin"/>
            </w:r>
            <w:r w:rsidR="006E2471" w:rsidRPr="00FC37A5">
              <w:rPr>
                <w:rFonts w:ascii="Times New Roman" w:eastAsia="等线" w:hAnsi="Times New Roman" w:cs="Times New Roman"/>
                <w:sz w:val="24"/>
                <w:szCs w:val="24"/>
              </w:rPr>
              <w:instrText xml:space="preserve"> </w:instrText>
            </w:r>
            <w:r w:rsidR="006E2471" w:rsidRPr="00FC37A5">
              <w:rPr>
                <w:rFonts w:ascii="Times New Roman" w:eastAsia="等线" w:hAnsi="Times New Roman" w:cs="Times New Roman" w:hint="eastAsia"/>
                <w:sz w:val="24"/>
                <w:szCs w:val="24"/>
              </w:rPr>
              <w:instrText>=SUM(ABOVE)</w:instrText>
            </w:r>
            <w:r w:rsidR="006E2471" w:rsidRPr="00FC37A5">
              <w:rPr>
                <w:rFonts w:ascii="Times New Roman" w:eastAsia="等线" w:hAnsi="Times New Roman" w:cs="Times New Roman"/>
                <w:sz w:val="24"/>
                <w:szCs w:val="24"/>
              </w:rPr>
              <w:instrText xml:space="preserve"> </w:instrText>
            </w:r>
            <w:r w:rsidRPr="00FC37A5">
              <w:rPr>
                <w:rFonts w:ascii="Times New Roman" w:eastAsia="等线" w:hAnsi="Times New Roman" w:cs="Times New Roman"/>
                <w:sz w:val="24"/>
                <w:szCs w:val="24"/>
              </w:rPr>
              <w:fldChar w:fldCharType="separate"/>
            </w:r>
            <w:r w:rsidR="006E2471">
              <w:rPr>
                <w:rFonts w:ascii="Times New Roman" w:eastAsia="等线" w:hAnsi="Times New Roman" w:cs="Times New Roman"/>
                <w:noProof/>
                <w:sz w:val="24"/>
                <w:szCs w:val="24"/>
              </w:rPr>
              <w:t>20</w:t>
            </w:r>
            <w:r w:rsidRPr="00FC37A5">
              <w:rPr>
                <w:rFonts w:ascii="Times New Roman" w:eastAsia="等线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B77D49" w:rsidRDefault="00DA34C9" w:rsidP="00B77D49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陶森大学的</w:t>
      </w:r>
      <w:r w:rsidR="002E73D6">
        <w:rPr>
          <w:rFonts w:ascii="宋体" w:eastAsia="宋体" w:hAnsi="宋体" w:hint="eastAsia"/>
          <w:sz w:val="28"/>
          <w:szCs w:val="28"/>
        </w:rPr>
        <w:t>其他</w:t>
      </w:r>
      <w:r w:rsidR="00B77D49">
        <w:rPr>
          <w:rFonts w:ascii="宋体" w:eastAsia="宋体" w:hAnsi="宋体" w:hint="eastAsia"/>
          <w:sz w:val="28"/>
          <w:szCs w:val="28"/>
        </w:rPr>
        <w:t>课程</w:t>
      </w:r>
    </w:p>
    <w:p w:rsidR="00201F0C" w:rsidRDefault="00A40DFF" w:rsidP="00CB2E8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“2+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”项目中，陶森大学还</w:t>
      </w:r>
      <w:r w:rsidR="0032051B">
        <w:rPr>
          <w:rFonts w:ascii="宋体" w:eastAsia="宋体" w:hAnsi="宋体" w:hint="eastAsia"/>
          <w:sz w:val="28"/>
          <w:szCs w:val="28"/>
        </w:rPr>
        <w:t>开设</w:t>
      </w:r>
      <w:r>
        <w:rPr>
          <w:rFonts w:ascii="宋体" w:eastAsia="宋体" w:hAnsi="宋体" w:hint="eastAsia"/>
          <w:sz w:val="28"/>
          <w:szCs w:val="28"/>
        </w:rPr>
        <w:t>其他的一些课程</w:t>
      </w:r>
      <w:r w:rsidR="0032051B">
        <w:rPr>
          <w:rFonts w:ascii="宋体" w:eastAsia="宋体" w:hAnsi="宋体" w:hint="eastAsia"/>
          <w:sz w:val="28"/>
          <w:szCs w:val="28"/>
        </w:rPr>
        <w:t>，见</w:t>
      </w:r>
      <w:r w:rsidR="004933CF">
        <w:rPr>
          <w:rFonts w:ascii="宋体" w:eastAsia="宋体" w:hAnsi="宋体" w:hint="eastAsia"/>
          <w:sz w:val="28"/>
          <w:szCs w:val="28"/>
        </w:rPr>
        <w:t>表3</w:t>
      </w:r>
      <w:r w:rsidR="0032051B">
        <w:rPr>
          <w:rFonts w:ascii="宋体" w:eastAsia="宋体" w:hAnsi="宋体" w:hint="eastAsia"/>
          <w:sz w:val="28"/>
          <w:szCs w:val="28"/>
        </w:rPr>
        <w:t>，</w:t>
      </w:r>
      <w:r w:rsidR="00440034">
        <w:rPr>
          <w:rFonts w:ascii="宋体" w:eastAsia="宋体" w:hAnsi="宋体" w:hint="eastAsia"/>
          <w:sz w:val="28"/>
          <w:szCs w:val="28"/>
        </w:rPr>
        <w:t>不</w:t>
      </w:r>
      <w:r w:rsidR="00EE5BD5">
        <w:rPr>
          <w:rFonts w:ascii="宋体" w:eastAsia="宋体" w:hAnsi="宋体" w:hint="eastAsia"/>
          <w:sz w:val="28"/>
          <w:szCs w:val="28"/>
        </w:rPr>
        <w:t>再</w:t>
      </w:r>
      <w:r w:rsidR="0032051B">
        <w:rPr>
          <w:rFonts w:ascii="宋体" w:eastAsia="宋体" w:hAnsi="宋体" w:hint="eastAsia"/>
          <w:sz w:val="28"/>
          <w:szCs w:val="28"/>
        </w:rPr>
        <w:t>与我校课程</w:t>
      </w:r>
      <w:r w:rsidR="00440034">
        <w:rPr>
          <w:rFonts w:ascii="宋体" w:eastAsia="宋体" w:hAnsi="宋体" w:hint="eastAsia"/>
          <w:sz w:val="28"/>
          <w:szCs w:val="28"/>
        </w:rPr>
        <w:t>进行一一对比。</w:t>
      </w:r>
      <w:r w:rsidR="00AB77E5">
        <w:rPr>
          <w:rFonts w:ascii="宋体" w:eastAsia="宋体" w:hAnsi="宋体" w:hint="eastAsia"/>
          <w:sz w:val="28"/>
          <w:szCs w:val="28"/>
        </w:rPr>
        <w:t>这些课程在学科、专业</w:t>
      </w:r>
      <w:r w:rsidR="00CB7E3E">
        <w:rPr>
          <w:rFonts w:ascii="宋体" w:eastAsia="宋体" w:hAnsi="宋体" w:hint="eastAsia"/>
          <w:sz w:val="28"/>
          <w:szCs w:val="28"/>
        </w:rPr>
        <w:t>、国际视野等方面为学生</w:t>
      </w:r>
      <w:r w:rsidR="00E37401">
        <w:rPr>
          <w:rFonts w:ascii="宋体" w:eastAsia="宋体" w:hAnsi="宋体" w:hint="eastAsia"/>
          <w:sz w:val="28"/>
          <w:szCs w:val="28"/>
        </w:rPr>
        <w:t>的发展</w:t>
      </w:r>
      <w:r w:rsidR="00CB7E3E">
        <w:rPr>
          <w:rFonts w:ascii="宋体" w:eastAsia="宋体" w:hAnsi="宋体" w:hint="eastAsia"/>
          <w:sz w:val="28"/>
          <w:szCs w:val="28"/>
        </w:rPr>
        <w:t>奠定了很好的基础。</w:t>
      </w:r>
    </w:p>
    <w:p w:rsidR="00440034" w:rsidRDefault="004933CF" w:rsidP="004933CF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表3</w:t>
      </w:r>
      <w:r w:rsidR="00440034">
        <w:rPr>
          <w:rFonts w:ascii="宋体" w:eastAsia="宋体" w:hAnsi="宋体" w:hint="eastAsia"/>
          <w:sz w:val="28"/>
          <w:szCs w:val="28"/>
        </w:rPr>
        <w:t>：陶森大学的选修课程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76"/>
        <w:gridCol w:w="1089"/>
      </w:tblGrid>
      <w:tr w:rsidR="00A147F9" w:rsidRPr="00A147F9" w:rsidTr="00A40DFF">
        <w:trPr>
          <w:trHeight w:val="283"/>
          <w:jc w:val="center"/>
        </w:trPr>
        <w:tc>
          <w:tcPr>
            <w:tcW w:w="4576" w:type="dxa"/>
            <w:shd w:val="clear" w:color="auto" w:fill="auto"/>
            <w:vAlign w:val="center"/>
          </w:tcPr>
          <w:p w:rsidR="00A147F9" w:rsidRPr="00A147F9" w:rsidRDefault="00A147F9" w:rsidP="00CC50A1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A147F9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陶森大学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147F9" w:rsidRPr="00A147F9" w:rsidRDefault="00A147F9" w:rsidP="00CC50A1">
            <w:pPr>
              <w:jc w:val="center"/>
              <w:rPr>
                <w:rFonts w:ascii="Times New Roman" w:eastAsia="等线" w:hAnsi="Times New Roman" w:cs="Times New Roman"/>
                <w:b/>
                <w:color w:val="000000"/>
                <w:sz w:val="24"/>
                <w:szCs w:val="24"/>
              </w:rPr>
            </w:pPr>
            <w:r w:rsidRPr="00A147F9">
              <w:rPr>
                <w:rFonts w:ascii="Times New Roman" w:eastAsia="等线" w:hAnsi="Times New Roman" w:cs="Times New Roman" w:hint="eastAsia"/>
                <w:b/>
                <w:color w:val="000000"/>
                <w:sz w:val="24"/>
                <w:szCs w:val="24"/>
              </w:rPr>
              <w:t>学分</w:t>
            </w:r>
          </w:p>
        </w:tc>
      </w:tr>
      <w:tr w:rsidR="00A40DFF" w:rsidRPr="00A147F9" w:rsidTr="00A40DFF">
        <w:trPr>
          <w:trHeight w:val="283"/>
          <w:jc w:val="center"/>
        </w:trPr>
        <w:tc>
          <w:tcPr>
            <w:tcW w:w="4576" w:type="dxa"/>
            <w:shd w:val="clear" w:color="auto" w:fill="auto"/>
            <w:vAlign w:val="center"/>
          </w:tcPr>
          <w:p w:rsidR="004C31F1" w:rsidRDefault="00A40DFF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66DB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财务会计原理</w:t>
            </w:r>
          </w:p>
          <w:p w:rsidR="004C31F1" w:rsidRDefault="004C31F1" w:rsidP="00A40DFF">
            <w:pPr>
              <w:spacing w:line="360" w:lineRule="auto"/>
              <w:jc w:val="left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4C31F1">
              <w:rPr>
                <w:rFonts w:ascii="TimesNewRomanPSMT" w:eastAsia="TimesNewRomanPSMT" w:cs="TimesNewRomanPSMT"/>
                <w:kern w:val="0"/>
                <w:szCs w:val="21"/>
              </w:rPr>
              <w:t xml:space="preserve">ACCT 201 </w:t>
            </w:r>
          </w:p>
          <w:p w:rsidR="004C31F1" w:rsidRDefault="004C31F1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C31F1">
              <w:rPr>
                <w:rFonts w:ascii="TimesNewRomanPSMT" w:eastAsia="TimesNewRomanPSMT" w:cs="TimesNewRomanPSMT"/>
                <w:kern w:val="0"/>
                <w:szCs w:val="21"/>
              </w:rPr>
              <w:t>PRINCIPLES OF FINANCIAL ACCOUNTING</w:t>
            </w:r>
          </w:p>
          <w:p w:rsidR="004C31F1" w:rsidRDefault="00A40DFF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66DB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/会计原理I</w:t>
            </w:r>
          </w:p>
          <w:p w:rsidR="004C31F1" w:rsidRDefault="004C31F1" w:rsidP="00A40DFF">
            <w:pPr>
              <w:spacing w:line="360" w:lineRule="auto"/>
              <w:jc w:val="left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4C31F1">
              <w:rPr>
                <w:rFonts w:ascii="TimesNewRomanPSMT" w:eastAsia="TimesNewRomanPSMT" w:cs="TimesNewRomanPSMT"/>
                <w:kern w:val="0"/>
                <w:szCs w:val="21"/>
              </w:rPr>
              <w:t xml:space="preserve">ACCT 211 </w:t>
            </w:r>
          </w:p>
          <w:p w:rsidR="00A40DFF" w:rsidRPr="00A147F9" w:rsidRDefault="004C31F1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C31F1">
              <w:rPr>
                <w:rFonts w:ascii="TimesNewRomanPSMT" w:eastAsia="TimesNewRomanPSMT" w:cs="TimesNewRomanPSMT"/>
                <w:kern w:val="0"/>
                <w:szCs w:val="21"/>
              </w:rPr>
              <w:t>HONORS ACCOUNTING PRINCIPLES I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40DFF" w:rsidRPr="00A147F9" w:rsidRDefault="00A40DFF" w:rsidP="00A40DFF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E66DBE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A40DFF" w:rsidRPr="00A147F9" w:rsidTr="00A40DFF">
        <w:trPr>
          <w:trHeight w:val="283"/>
          <w:jc w:val="center"/>
        </w:trPr>
        <w:tc>
          <w:tcPr>
            <w:tcW w:w="4576" w:type="dxa"/>
            <w:shd w:val="clear" w:color="auto" w:fill="auto"/>
            <w:vAlign w:val="center"/>
          </w:tcPr>
          <w:p w:rsidR="00BF379A" w:rsidRDefault="00A40DFF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66DB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管理会计原理</w:t>
            </w:r>
          </w:p>
          <w:p w:rsidR="00BF379A" w:rsidRDefault="00BF379A" w:rsidP="00A40DFF">
            <w:pPr>
              <w:spacing w:line="360" w:lineRule="auto"/>
              <w:jc w:val="left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BF379A">
              <w:rPr>
                <w:rFonts w:ascii="TimesNewRomanPSMT" w:eastAsia="TimesNewRomanPSMT" w:cs="TimesNewRomanPSMT"/>
                <w:kern w:val="0"/>
                <w:szCs w:val="21"/>
              </w:rPr>
              <w:t xml:space="preserve">ACCT 202 </w:t>
            </w:r>
          </w:p>
          <w:p w:rsidR="00BF379A" w:rsidRDefault="00BF379A" w:rsidP="00A40DFF">
            <w:pPr>
              <w:spacing w:line="360" w:lineRule="auto"/>
              <w:jc w:val="left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BF379A">
              <w:rPr>
                <w:rFonts w:ascii="TimesNewRomanPSMT" w:eastAsia="TimesNewRomanPSMT" w:cs="TimesNewRomanPSMT"/>
                <w:kern w:val="0"/>
                <w:szCs w:val="21"/>
              </w:rPr>
              <w:t>PRINCIPLES OF MANAGERIAL ACCOUNTING</w:t>
            </w:r>
          </w:p>
          <w:p w:rsidR="00A40DFF" w:rsidRDefault="00A40DFF" w:rsidP="00A40DFF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66DB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/会计原理</w:t>
            </w:r>
            <w:r w:rsidRPr="00E66DBE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II</w:t>
            </w:r>
          </w:p>
          <w:p w:rsidR="00BF379A" w:rsidRDefault="00BF379A" w:rsidP="00A40DFF">
            <w:pPr>
              <w:spacing w:line="360" w:lineRule="auto"/>
              <w:jc w:val="left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BF379A">
              <w:rPr>
                <w:rFonts w:ascii="TimesNewRomanPSMT" w:eastAsia="TimesNewRomanPSMT" w:cs="TimesNewRomanPSMT"/>
                <w:kern w:val="0"/>
                <w:szCs w:val="21"/>
              </w:rPr>
              <w:t xml:space="preserve">ACCT 212 </w:t>
            </w:r>
          </w:p>
          <w:p w:rsidR="00BF379A" w:rsidRPr="00A147F9" w:rsidRDefault="00BF379A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BF379A">
              <w:rPr>
                <w:rFonts w:ascii="TimesNewRomanPSMT" w:eastAsia="TimesNewRomanPSMT" w:cs="TimesNewRomanPSMT"/>
                <w:kern w:val="0"/>
                <w:szCs w:val="21"/>
              </w:rPr>
              <w:t>HONORS ACCOUNTNG PRINCIPLES II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40DFF" w:rsidRPr="00A147F9" w:rsidRDefault="00A40DFF" w:rsidP="00A40DFF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E66DBE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A40DFF" w:rsidRPr="00A147F9" w:rsidTr="00A40DFF">
        <w:trPr>
          <w:trHeight w:val="283"/>
          <w:jc w:val="center"/>
        </w:trPr>
        <w:tc>
          <w:tcPr>
            <w:tcW w:w="4576" w:type="dxa"/>
            <w:shd w:val="clear" w:color="auto" w:fill="auto"/>
            <w:vAlign w:val="center"/>
          </w:tcPr>
          <w:p w:rsidR="00A40DFF" w:rsidRDefault="00A40DFF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66DB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抽象数学概论</w:t>
            </w:r>
          </w:p>
          <w:p w:rsidR="00EC7452" w:rsidRDefault="00EC7452" w:rsidP="00A40DFF">
            <w:pPr>
              <w:spacing w:line="360" w:lineRule="auto"/>
              <w:jc w:val="left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EC7452">
              <w:rPr>
                <w:rFonts w:ascii="TimesNewRomanPSMT" w:eastAsia="TimesNewRomanPSMT" w:cs="TimesNewRomanPSMT"/>
                <w:kern w:val="0"/>
                <w:szCs w:val="21"/>
              </w:rPr>
              <w:t xml:space="preserve">MATH 267 </w:t>
            </w:r>
          </w:p>
          <w:p w:rsidR="00EC7452" w:rsidRPr="00A147F9" w:rsidRDefault="00EC7452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452">
              <w:rPr>
                <w:rFonts w:ascii="TimesNewRomanPSMT" w:eastAsia="TimesNewRomanPSMT" w:cs="TimesNewRomanPSMT"/>
                <w:kern w:val="0"/>
                <w:szCs w:val="21"/>
              </w:rPr>
              <w:t>INTRODUCTION TO ABSTRACT MATHEMATICS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40DFF" w:rsidRPr="00A147F9" w:rsidRDefault="00A40DFF" w:rsidP="00A40DFF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E66DBE">
              <w:rPr>
                <w:rFonts w:ascii="Times New Roman" w:eastAsia="等线" w:hAnsi="Times New Roman" w:cs="Times New Roman"/>
                <w:sz w:val="24"/>
                <w:szCs w:val="24"/>
              </w:rPr>
              <w:t>4</w:t>
            </w:r>
          </w:p>
        </w:tc>
      </w:tr>
      <w:tr w:rsidR="00A40DFF" w:rsidRPr="00A147F9" w:rsidTr="00A40DFF">
        <w:trPr>
          <w:trHeight w:val="283"/>
          <w:jc w:val="center"/>
        </w:trPr>
        <w:tc>
          <w:tcPr>
            <w:tcW w:w="4576" w:type="dxa"/>
            <w:shd w:val="clear" w:color="auto" w:fill="auto"/>
            <w:vAlign w:val="center"/>
          </w:tcPr>
          <w:p w:rsidR="00A40DFF" w:rsidRDefault="00A40DFF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66DB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利息理论</w:t>
            </w:r>
          </w:p>
          <w:p w:rsidR="00F3363E" w:rsidRDefault="00F3363E" w:rsidP="00A40DFF">
            <w:pPr>
              <w:spacing w:line="360" w:lineRule="auto"/>
              <w:jc w:val="left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F3363E">
              <w:rPr>
                <w:rFonts w:ascii="TimesNewRomanPSMT" w:eastAsia="TimesNewRomanPSMT" w:cs="TimesNewRomanPSMT"/>
                <w:kern w:val="0"/>
                <w:szCs w:val="21"/>
              </w:rPr>
              <w:lastRenderedPageBreak/>
              <w:t xml:space="preserve">MATH 312 </w:t>
            </w:r>
          </w:p>
          <w:p w:rsidR="00F3363E" w:rsidRPr="00A147F9" w:rsidRDefault="00F3363E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F3363E">
              <w:rPr>
                <w:rFonts w:ascii="TimesNewRomanPSMT" w:eastAsia="TimesNewRomanPSMT" w:cs="TimesNewRomanPSMT"/>
                <w:kern w:val="0"/>
                <w:szCs w:val="21"/>
              </w:rPr>
              <w:t>THEORY OF INTEREST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40DFF" w:rsidRPr="00A147F9" w:rsidRDefault="00A40DFF" w:rsidP="00A40DFF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E66DBE">
              <w:rPr>
                <w:rFonts w:ascii="Times New Roman" w:eastAsia="等线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A40DFF" w:rsidRPr="00A147F9" w:rsidTr="00A40DFF">
        <w:trPr>
          <w:trHeight w:val="283"/>
          <w:jc w:val="center"/>
        </w:trPr>
        <w:tc>
          <w:tcPr>
            <w:tcW w:w="4576" w:type="dxa"/>
            <w:shd w:val="clear" w:color="auto" w:fill="auto"/>
            <w:vAlign w:val="center"/>
          </w:tcPr>
          <w:p w:rsidR="000223FB" w:rsidRDefault="00A40DFF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632D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抽象代数导论</w:t>
            </w:r>
          </w:p>
          <w:p w:rsidR="000223FB" w:rsidRDefault="000223FB" w:rsidP="00A40DFF">
            <w:pPr>
              <w:spacing w:line="360" w:lineRule="auto"/>
              <w:jc w:val="left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0223FB">
              <w:rPr>
                <w:rFonts w:ascii="TimesNewRomanPSMT" w:eastAsia="TimesNewRomanPSMT" w:cs="TimesNewRomanPSMT"/>
                <w:kern w:val="0"/>
                <w:szCs w:val="21"/>
              </w:rPr>
              <w:t xml:space="preserve">MATH 369 </w:t>
            </w:r>
          </w:p>
          <w:p w:rsidR="000223FB" w:rsidRPr="000223FB" w:rsidRDefault="000223FB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0223FB">
              <w:rPr>
                <w:rFonts w:ascii="TimesNewRomanPSMT" w:eastAsia="TimesNewRomanPSMT" w:cs="TimesNewRomanPSMT"/>
                <w:kern w:val="0"/>
                <w:szCs w:val="21"/>
              </w:rPr>
              <w:t>INTRODUCTION TO ABSTRACT ALGEBRA</w:t>
            </w:r>
          </w:p>
          <w:p w:rsidR="00D51CF8" w:rsidRDefault="00A40DFF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632D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/线性代数</w:t>
            </w:r>
          </w:p>
          <w:p w:rsidR="00D51CF8" w:rsidRDefault="00D51CF8" w:rsidP="00A40DFF">
            <w:pPr>
              <w:spacing w:line="360" w:lineRule="auto"/>
              <w:jc w:val="left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D51CF8">
              <w:rPr>
                <w:rFonts w:ascii="TimesNewRomanPSMT" w:eastAsia="TimesNewRomanPSMT" w:cs="TimesNewRomanPSMT"/>
                <w:kern w:val="0"/>
                <w:szCs w:val="21"/>
              </w:rPr>
              <w:t xml:space="preserve">MATH 463 </w:t>
            </w:r>
          </w:p>
          <w:p w:rsidR="00D51CF8" w:rsidRDefault="00D51CF8" w:rsidP="00A40DFF">
            <w:pPr>
              <w:spacing w:line="360" w:lineRule="auto"/>
              <w:jc w:val="left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D51CF8">
              <w:rPr>
                <w:rFonts w:ascii="TimesNewRomanPSMT" w:eastAsia="TimesNewRomanPSMT" w:cs="TimesNewRomanPSMT"/>
                <w:kern w:val="0"/>
                <w:szCs w:val="21"/>
              </w:rPr>
              <w:t>LINEAR ALGEBRA</w:t>
            </w:r>
          </w:p>
          <w:p w:rsidR="00A40DFF" w:rsidRDefault="00A40DFF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632D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/实分析导论</w:t>
            </w:r>
          </w:p>
          <w:p w:rsidR="00D51CF8" w:rsidRDefault="00D51CF8" w:rsidP="00A40DFF">
            <w:pPr>
              <w:spacing w:line="360" w:lineRule="auto"/>
              <w:jc w:val="left"/>
              <w:rPr>
                <w:rFonts w:ascii="TimesNewRomanPSMT" w:eastAsia="TimesNewRomanPSMT" w:cs="TimesNewRomanPSMT"/>
                <w:kern w:val="0"/>
                <w:szCs w:val="21"/>
              </w:rPr>
            </w:pPr>
            <w:r w:rsidRPr="00D51CF8">
              <w:rPr>
                <w:rFonts w:ascii="TimesNewRomanPSMT" w:eastAsia="TimesNewRomanPSMT" w:cs="TimesNewRomanPSMT"/>
                <w:kern w:val="0"/>
                <w:szCs w:val="21"/>
              </w:rPr>
              <w:t xml:space="preserve">MATH 473 </w:t>
            </w:r>
          </w:p>
          <w:p w:rsidR="00D51CF8" w:rsidRPr="00D51CF8" w:rsidRDefault="00D51CF8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D51CF8">
              <w:rPr>
                <w:rFonts w:ascii="TimesNewRomanPSMT" w:eastAsia="TimesNewRomanPSMT" w:cs="TimesNewRomanPSMT"/>
                <w:kern w:val="0"/>
                <w:szCs w:val="21"/>
              </w:rPr>
              <w:t>INTRODUCTORY REAL ANALYSIS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40DFF" w:rsidRPr="00A147F9" w:rsidRDefault="00A40DFF" w:rsidP="00A40DFF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C632D1">
              <w:rPr>
                <w:rFonts w:ascii="宋体" w:eastAsia="宋体" w:hAnsi="宋体" w:cs="宋体"/>
                <w:color w:val="000000"/>
                <w:sz w:val="24"/>
                <w:szCs w:val="24"/>
              </w:rPr>
              <w:t>4/3/4</w:t>
            </w:r>
          </w:p>
        </w:tc>
      </w:tr>
      <w:tr w:rsidR="00A40DFF" w:rsidRPr="00A147F9" w:rsidTr="00A40DFF">
        <w:trPr>
          <w:trHeight w:val="283"/>
          <w:jc w:val="center"/>
        </w:trPr>
        <w:tc>
          <w:tcPr>
            <w:tcW w:w="4576" w:type="dxa"/>
            <w:shd w:val="clear" w:color="auto" w:fill="auto"/>
            <w:vAlign w:val="center"/>
          </w:tcPr>
          <w:p w:rsidR="00A40DFF" w:rsidRDefault="00A40DFF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7F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核心</w:t>
            </w:r>
            <w:r w:rsidRPr="00A147F9">
              <w:rPr>
                <w:rFonts w:ascii="宋体" w:eastAsia="宋体" w:hAnsi="宋体" w:cs="宋体"/>
                <w:color w:val="000000"/>
                <w:sz w:val="24"/>
                <w:szCs w:val="24"/>
              </w:rPr>
              <w:t>7</w:t>
            </w:r>
            <w:r w:rsidRPr="00A147F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（理化生等实验类课程）</w:t>
            </w:r>
          </w:p>
          <w:p w:rsidR="001E5621" w:rsidRPr="001E5621" w:rsidRDefault="001E5621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1E5621">
              <w:rPr>
                <w:rFonts w:ascii="TimesNewRomanPSMT" w:eastAsia="TimesNewRomanPSMT" w:cs="TimesNewRomanPSMT"/>
                <w:kern w:val="0"/>
                <w:szCs w:val="21"/>
              </w:rPr>
              <w:t>CORE 7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40DFF" w:rsidRPr="00C632D1" w:rsidRDefault="00A40DFF" w:rsidP="00A40D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7F9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A40DFF" w:rsidRPr="00A147F9" w:rsidTr="00A40DFF">
        <w:trPr>
          <w:trHeight w:val="283"/>
          <w:jc w:val="center"/>
        </w:trPr>
        <w:tc>
          <w:tcPr>
            <w:tcW w:w="4576" w:type="dxa"/>
            <w:shd w:val="clear" w:color="auto" w:fill="auto"/>
            <w:vAlign w:val="center"/>
          </w:tcPr>
          <w:p w:rsidR="00A40DFF" w:rsidRDefault="00A40DFF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7F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核心</w:t>
            </w:r>
            <w:r w:rsidRPr="00A147F9">
              <w:rPr>
                <w:rFonts w:ascii="宋体" w:eastAsia="宋体" w:hAnsi="宋体" w:cs="宋体"/>
                <w:color w:val="000000"/>
                <w:sz w:val="24"/>
                <w:szCs w:val="24"/>
              </w:rPr>
              <w:t>8</w:t>
            </w:r>
            <w:r w:rsidRPr="00A147F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（理化生等实验及非实验类课程）</w:t>
            </w:r>
          </w:p>
          <w:p w:rsidR="001E5621" w:rsidRPr="001E5621" w:rsidRDefault="001E5621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1E5621">
              <w:rPr>
                <w:rFonts w:ascii="TimesNewRomanPSMT" w:eastAsia="TimesNewRomanPSMT" w:cs="TimesNewRomanPSMT"/>
                <w:kern w:val="0"/>
                <w:szCs w:val="21"/>
              </w:rPr>
              <w:t>CORE 8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40DFF" w:rsidRPr="00C632D1" w:rsidRDefault="00A40DFF" w:rsidP="00A40D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7F9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A40DFF" w:rsidRPr="00A147F9" w:rsidTr="00A40DFF">
        <w:trPr>
          <w:trHeight w:val="283"/>
          <w:jc w:val="center"/>
        </w:trPr>
        <w:tc>
          <w:tcPr>
            <w:tcW w:w="4576" w:type="dxa"/>
            <w:shd w:val="clear" w:color="auto" w:fill="auto"/>
            <w:vAlign w:val="center"/>
          </w:tcPr>
          <w:p w:rsidR="00A40DFF" w:rsidRDefault="00A40DFF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7F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核心</w:t>
            </w:r>
            <w:r w:rsidRPr="00A147F9">
              <w:rPr>
                <w:rFonts w:ascii="宋体" w:eastAsia="宋体" w:hAnsi="宋体" w:cs="宋体"/>
                <w:color w:val="000000"/>
                <w:sz w:val="24"/>
                <w:szCs w:val="24"/>
              </w:rPr>
              <w:t>11</w:t>
            </w:r>
            <w:r w:rsidRPr="00A147F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（美国历史文化等课程）</w:t>
            </w:r>
          </w:p>
          <w:p w:rsidR="001E5621" w:rsidRPr="001E5621" w:rsidRDefault="001E5621" w:rsidP="00A40DFF">
            <w:pPr>
              <w:spacing w:line="360" w:lineRule="auto"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  <w:r w:rsidRPr="001E5621">
              <w:rPr>
                <w:rFonts w:ascii="TimesNewRomanPSMT" w:eastAsia="TimesNewRomanPSMT" w:cs="TimesNewRomanPSMT"/>
                <w:kern w:val="0"/>
                <w:szCs w:val="21"/>
              </w:rPr>
              <w:t>CORE 11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A40DFF" w:rsidRPr="00A147F9" w:rsidRDefault="00A40DFF" w:rsidP="00A40DFF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A147F9">
              <w:rPr>
                <w:rFonts w:ascii="Times New Roman" w:eastAsia="等线" w:hAnsi="Times New Roman" w:cs="Times New Roman"/>
                <w:sz w:val="24"/>
                <w:szCs w:val="24"/>
              </w:rPr>
              <w:t>3</w:t>
            </w:r>
          </w:p>
        </w:tc>
      </w:tr>
      <w:tr w:rsidR="00A40DFF" w:rsidRPr="00A147F9" w:rsidTr="00A40DFF">
        <w:trPr>
          <w:trHeight w:val="283"/>
          <w:jc w:val="center"/>
        </w:trPr>
        <w:tc>
          <w:tcPr>
            <w:tcW w:w="4576" w:type="dxa"/>
            <w:shd w:val="clear" w:color="auto" w:fill="auto"/>
            <w:vAlign w:val="center"/>
          </w:tcPr>
          <w:p w:rsidR="00A40DFF" w:rsidRPr="00A147F9" w:rsidRDefault="00A40DFF" w:rsidP="00A40DF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147F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总学分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A40DFF" w:rsidRPr="00A147F9" w:rsidRDefault="00A40DFF" w:rsidP="00AB77E5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</w:rPr>
              <w:t>2</w:t>
            </w:r>
            <w:r w:rsidR="00AB77E5">
              <w:rPr>
                <w:rFonts w:ascii="Times New Roman" w:eastAsia="等线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等线" w:hAnsi="Times New Roman" w:cs="Times New Roman" w:hint="eastAsia"/>
                <w:sz w:val="24"/>
                <w:szCs w:val="24"/>
              </w:rPr>
              <w:t>/</w:t>
            </w:r>
            <w:r w:rsidR="00AB77E5">
              <w:rPr>
                <w:rFonts w:ascii="Times New Roman" w:eastAsia="等线" w:hAnsi="Times New Roman" w:cs="Times New Roman"/>
                <w:sz w:val="24"/>
                <w:szCs w:val="24"/>
              </w:rPr>
              <w:t>27</w:t>
            </w:r>
          </w:p>
        </w:tc>
      </w:tr>
    </w:tbl>
    <w:p w:rsidR="00AE1B27" w:rsidRPr="00AE1B27" w:rsidRDefault="00AE1B27" w:rsidP="00AE1B27">
      <w:pPr>
        <w:pStyle w:val="a5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AE1B27">
        <w:rPr>
          <w:rFonts w:ascii="宋体" w:eastAsia="宋体" w:hAnsi="宋体" w:hint="eastAsia"/>
          <w:b/>
          <w:sz w:val="28"/>
          <w:szCs w:val="28"/>
        </w:rPr>
        <w:t>认定结论</w:t>
      </w:r>
    </w:p>
    <w:p w:rsidR="00C65626" w:rsidRPr="004420E3" w:rsidRDefault="00E236B3" w:rsidP="00CB2E8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综合</w:t>
      </w:r>
      <w:r w:rsidR="00AE1B27">
        <w:rPr>
          <w:rFonts w:ascii="宋体" w:eastAsia="宋体" w:hAnsi="宋体" w:hint="eastAsia"/>
          <w:sz w:val="28"/>
          <w:szCs w:val="28"/>
        </w:rPr>
        <w:t>前述情况</w:t>
      </w:r>
      <w:r>
        <w:rPr>
          <w:rFonts w:ascii="宋体" w:eastAsia="宋体" w:hAnsi="宋体" w:hint="eastAsia"/>
          <w:sz w:val="28"/>
          <w:szCs w:val="28"/>
        </w:rPr>
        <w:t>，</w:t>
      </w:r>
      <w:r w:rsidR="00B81257" w:rsidRPr="004420E3">
        <w:rPr>
          <w:rFonts w:ascii="宋体" w:eastAsia="宋体" w:hAnsi="宋体" w:hint="eastAsia"/>
          <w:sz w:val="28"/>
          <w:szCs w:val="28"/>
        </w:rPr>
        <w:t>我校</w:t>
      </w:r>
      <w:r w:rsidR="008D52FF" w:rsidRPr="004420E3">
        <w:rPr>
          <w:rFonts w:ascii="宋体" w:eastAsia="宋体" w:hAnsi="宋体" w:hint="eastAsia"/>
          <w:sz w:val="28"/>
          <w:szCs w:val="28"/>
        </w:rPr>
        <w:t>依据</w:t>
      </w:r>
      <w:r w:rsidR="0020651B" w:rsidRPr="004420E3">
        <w:rPr>
          <w:rFonts w:ascii="宋体" w:eastAsia="宋体" w:hAnsi="宋体" w:hint="eastAsia"/>
          <w:sz w:val="28"/>
          <w:szCs w:val="28"/>
        </w:rPr>
        <w:t>陶森大学</w:t>
      </w:r>
      <w:r w:rsidR="009E2956">
        <w:rPr>
          <w:rFonts w:ascii="宋体" w:eastAsia="宋体" w:hAnsi="宋体" w:hint="eastAsia"/>
          <w:sz w:val="28"/>
          <w:szCs w:val="28"/>
        </w:rPr>
        <w:t>提供的</w:t>
      </w:r>
      <w:r w:rsidR="009E2956" w:rsidRPr="00F035FB">
        <w:rPr>
          <w:rFonts w:ascii="宋体" w:eastAsia="宋体" w:hAnsi="宋体" w:hint="eastAsia"/>
          <w:sz w:val="28"/>
          <w:szCs w:val="28"/>
        </w:rPr>
        <w:t>完整成绩单</w:t>
      </w:r>
      <w:r w:rsidR="000E755E" w:rsidRPr="000E755E">
        <w:rPr>
          <w:rFonts w:ascii="宋体" w:eastAsia="宋体" w:hAnsi="宋体" w:hint="eastAsia"/>
          <w:sz w:val="28"/>
          <w:szCs w:val="28"/>
        </w:rPr>
        <w:t>即</w:t>
      </w:r>
      <w:r>
        <w:rPr>
          <w:rFonts w:ascii="宋体" w:eastAsia="宋体" w:hAnsi="宋体" w:hint="eastAsia"/>
          <w:sz w:val="28"/>
          <w:szCs w:val="28"/>
        </w:rPr>
        <w:t>认定其完成了我校三、四年级的学分</w:t>
      </w:r>
      <w:r w:rsidR="00E570B7">
        <w:rPr>
          <w:rFonts w:ascii="宋体" w:eastAsia="宋体" w:hAnsi="宋体" w:hint="eastAsia"/>
          <w:sz w:val="28"/>
          <w:szCs w:val="28"/>
        </w:rPr>
        <w:t>。</w:t>
      </w:r>
      <w:r w:rsidR="00EB0EA1" w:rsidRPr="004420E3">
        <w:rPr>
          <w:rFonts w:ascii="宋体" w:eastAsia="宋体" w:hAnsi="宋体" w:hint="eastAsia"/>
          <w:sz w:val="28"/>
          <w:szCs w:val="28"/>
        </w:rPr>
        <w:t>结合</w:t>
      </w:r>
      <w:r w:rsidR="00E570B7">
        <w:rPr>
          <w:rFonts w:ascii="宋体" w:eastAsia="宋体" w:hAnsi="宋体" w:hint="eastAsia"/>
          <w:sz w:val="28"/>
          <w:szCs w:val="28"/>
        </w:rPr>
        <w:t>学生</w:t>
      </w:r>
      <w:r>
        <w:rPr>
          <w:rFonts w:ascii="宋体" w:eastAsia="宋体" w:hAnsi="宋体" w:hint="eastAsia"/>
          <w:sz w:val="28"/>
          <w:szCs w:val="28"/>
        </w:rPr>
        <w:t>在我校</w:t>
      </w:r>
      <w:r w:rsidR="007D13E5">
        <w:rPr>
          <w:rFonts w:ascii="宋体" w:eastAsia="宋体" w:hAnsi="宋体" w:hint="eastAsia"/>
          <w:sz w:val="28"/>
          <w:szCs w:val="28"/>
        </w:rPr>
        <w:t>一、二年级</w:t>
      </w:r>
      <w:r w:rsidR="00E570B7">
        <w:rPr>
          <w:rFonts w:ascii="宋体" w:eastAsia="宋体" w:hAnsi="宋体" w:hint="eastAsia"/>
          <w:sz w:val="28"/>
          <w:szCs w:val="28"/>
        </w:rPr>
        <w:t>期间</w:t>
      </w:r>
      <w:r w:rsidR="007D13E5">
        <w:rPr>
          <w:rFonts w:ascii="宋体" w:eastAsia="宋体" w:hAnsi="宋体" w:hint="eastAsia"/>
          <w:sz w:val="28"/>
          <w:szCs w:val="28"/>
        </w:rPr>
        <w:t>的学分完成情况，</w:t>
      </w:r>
      <w:r w:rsidR="00335AB0">
        <w:rPr>
          <w:rFonts w:ascii="宋体" w:eastAsia="宋体" w:hAnsi="宋体" w:hint="eastAsia"/>
          <w:sz w:val="28"/>
          <w:szCs w:val="28"/>
        </w:rPr>
        <w:t>以及毕业论文和毕业实习。</w:t>
      </w:r>
      <w:r w:rsidR="007D13E5">
        <w:rPr>
          <w:rFonts w:ascii="宋体" w:eastAsia="宋体" w:hAnsi="宋体" w:hint="eastAsia"/>
          <w:sz w:val="28"/>
          <w:szCs w:val="28"/>
        </w:rPr>
        <w:t>按照</w:t>
      </w:r>
      <w:r w:rsidR="00EB0EA1" w:rsidRPr="004420E3">
        <w:rPr>
          <w:rFonts w:ascii="宋体" w:eastAsia="宋体" w:hAnsi="宋体" w:hint="eastAsia"/>
          <w:sz w:val="28"/>
          <w:szCs w:val="28"/>
        </w:rPr>
        <w:t>我校的相关规定</w:t>
      </w:r>
      <w:r w:rsidR="00D17B9F">
        <w:rPr>
          <w:rFonts w:ascii="宋体" w:eastAsia="宋体" w:hAnsi="宋体" w:hint="eastAsia"/>
          <w:sz w:val="28"/>
          <w:szCs w:val="28"/>
        </w:rPr>
        <w:t>处</w:t>
      </w:r>
      <w:r w:rsidR="00EB0EA1" w:rsidRPr="004420E3">
        <w:rPr>
          <w:rFonts w:ascii="宋体" w:eastAsia="宋体" w:hAnsi="宋体" w:hint="eastAsia"/>
          <w:sz w:val="28"/>
          <w:szCs w:val="28"/>
        </w:rPr>
        <w:t>理</w:t>
      </w:r>
      <w:r w:rsidR="00A138B0" w:rsidRPr="004420E3">
        <w:rPr>
          <w:rFonts w:ascii="宋体" w:eastAsia="宋体" w:hAnsi="宋体" w:hint="eastAsia"/>
          <w:sz w:val="28"/>
          <w:szCs w:val="28"/>
        </w:rPr>
        <w:t>其</w:t>
      </w:r>
      <w:r w:rsidR="007D13E5">
        <w:rPr>
          <w:rFonts w:ascii="宋体" w:eastAsia="宋体" w:hAnsi="宋体" w:hint="eastAsia"/>
          <w:sz w:val="28"/>
          <w:szCs w:val="28"/>
        </w:rPr>
        <w:t>向</w:t>
      </w:r>
      <w:r w:rsidR="000E755E">
        <w:rPr>
          <w:rFonts w:ascii="宋体" w:eastAsia="宋体" w:hAnsi="宋体" w:hint="eastAsia"/>
          <w:sz w:val="28"/>
          <w:szCs w:val="28"/>
        </w:rPr>
        <w:t>我校</w:t>
      </w:r>
      <w:r w:rsidR="007D13E5">
        <w:rPr>
          <w:rFonts w:ascii="宋体" w:eastAsia="宋体" w:hAnsi="宋体" w:hint="eastAsia"/>
          <w:sz w:val="28"/>
          <w:szCs w:val="28"/>
        </w:rPr>
        <w:t>提出</w:t>
      </w:r>
      <w:r w:rsidR="000E755E">
        <w:rPr>
          <w:rFonts w:ascii="宋体" w:eastAsia="宋体" w:hAnsi="宋体" w:hint="eastAsia"/>
          <w:sz w:val="28"/>
          <w:szCs w:val="28"/>
        </w:rPr>
        <w:t>的</w:t>
      </w:r>
      <w:r w:rsidR="00A138B0" w:rsidRPr="004420E3">
        <w:rPr>
          <w:rFonts w:ascii="宋体" w:eastAsia="宋体" w:hAnsi="宋体" w:hint="eastAsia"/>
          <w:sz w:val="28"/>
          <w:szCs w:val="28"/>
        </w:rPr>
        <w:t>学位</w:t>
      </w:r>
      <w:r w:rsidR="00EB0EA1" w:rsidRPr="004420E3">
        <w:rPr>
          <w:rFonts w:ascii="宋体" w:eastAsia="宋体" w:hAnsi="宋体" w:hint="eastAsia"/>
          <w:sz w:val="28"/>
          <w:szCs w:val="28"/>
        </w:rPr>
        <w:t>申请</w:t>
      </w:r>
      <w:r w:rsidR="00842620">
        <w:rPr>
          <w:rFonts w:ascii="宋体" w:eastAsia="宋体" w:hAnsi="宋体" w:hint="eastAsia"/>
          <w:sz w:val="28"/>
          <w:szCs w:val="28"/>
        </w:rPr>
        <w:t>，对通过者授予</w:t>
      </w:r>
      <w:r w:rsidR="009707EB" w:rsidRPr="004420E3">
        <w:rPr>
          <w:rFonts w:ascii="宋体" w:eastAsia="宋体" w:hAnsi="宋体" w:hint="eastAsia"/>
          <w:sz w:val="28"/>
          <w:szCs w:val="28"/>
        </w:rPr>
        <w:t>学位</w:t>
      </w:r>
      <w:r w:rsidR="00A138B0" w:rsidRPr="004420E3">
        <w:rPr>
          <w:rFonts w:ascii="宋体" w:eastAsia="宋体" w:hAnsi="宋体" w:hint="eastAsia"/>
          <w:sz w:val="28"/>
          <w:szCs w:val="28"/>
        </w:rPr>
        <w:t>。</w:t>
      </w:r>
    </w:p>
    <w:p w:rsidR="009C3343" w:rsidRDefault="00C65626" w:rsidP="00D00B9F">
      <w:pPr>
        <w:spacing w:line="360" w:lineRule="auto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4420E3">
        <w:rPr>
          <w:rFonts w:ascii="宋体" w:eastAsia="宋体" w:hAnsi="宋体" w:hint="eastAsia"/>
          <w:sz w:val="28"/>
          <w:szCs w:val="28"/>
        </w:rPr>
        <w:t>特别说明：</w:t>
      </w:r>
      <w:r w:rsidR="009707EB" w:rsidRPr="004420E3">
        <w:rPr>
          <w:rFonts w:ascii="宋体" w:eastAsia="宋体" w:hAnsi="宋体" w:hint="eastAsia"/>
          <w:sz w:val="28"/>
          <w:szCs w:val="28"/>
        </w:rPr>
        <w:t>学生因个人原因（如学习期间违反出入境相关规定等）造成的影响学位申请等，后果由学生本人承担。</w:t>
      </w:r>
    </w:p>
    <w:p w:rsidR="00996692" w:rsidRDefault="009C3343" w:rsidP="00D00B9F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C3343">
        <w:rPr>
          <w:rFonts w:ascii="宋体" w:eastAsia="宋体" w:hAnsi="宋体" w:hint="eastAsia"/>
          <w:sz w:val="28"/>
          <w:szCs w:val="28"/>
        </w:rPr>
        <w:t>本方案未尽事宜，依据上海立信会计金融学院相关规定执行。</w:t>
      </w:r>
    </w:p>
    <w:p w:rsidR="00D00B9F" w:rsidRPr="00D00B9F" w:rsidRDefault="00D00B9F" w:rsidP="00D00B9F">
      <w:pPr>
        <w:wordWrap w:val="0"/>
        <w:spacing w:line="360" w:lineRule="auto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 xml:space="preserve">保险学院 </w:t>
      </w:r>
      <w:r>
        <w:rPr>
          <w:rFonts w:ascii="宋体" w:eastAsia="宋体" w:hAnsi="宋体"/>
          <w:sz w:val="28"/>
          <w:szCs w:val="28"/>
        </w:rPr>
        <w:t xml:space="preserve">  </w:t>
      </w:r>
    </w:p>
    <w:p w:rsidR="00996692" w:rsidRDefault="00996692" w:rsidP="00996692">
      <w:pPr>
        <w:spacing w:line="360" w:lineRule="auto"/>
        <w:ind w:firstLineChars="200" w:firstLine="560"/>
        <w:jc w:val="right"/>
        <w:rPr>
          <w:sz w:val="28"/>
          <w:szCs w:val="28"/>
        </w:rPr>
      </w:pPr>
      <w:r>
        <w:rPr>
          <w:sz w:val="28"/>
          <w:szCs w:val="28"/>
        </w:rPr>
        <w:t>201</w:t>
      </w:r>
      <w:r w:rsidR="00700C4B">
        <w:rPr>
          <w:sz w:val="28"/>
          <w:szCs w:val="28"/>
        </w:rPr>
        <w:t>9</w:t>
      </w:r>
      <w:r>
        <w:rPr>
          <w:sz w:val="28"/>
          <w:szCs w:val="28"/>
        </w:rPr>
        <w:t>年</w:t>
      </w:r>
      <w:r w:rsidR="00335AB0">
        <w:rPr>
          <w:rFonts w:hint="eastAsia"/>
          <w:sz w:val="28"/>
          <w:szCs w:val="28"/>
        </w:rPr>
        <w:t>11</w:t>
      </w:r>
      <w:r>
        <w:rPr>
          <w:sz w:val="28"/>
          <w:szCs w:val="28"/>
        </w:rPr>
        <w:t>月</w:t>
      </w:r>
      <w:r w:rsidR="00700C4B">
        <w:rPr>
          <w:sz w:val="28"/>
          <w:szCs w:val="28"/>
        </w:rPr>
        <w:t>1</w:t>
      </w:r>
      <w:r w:rsidR="00CA63A2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日</w:t>
      </w:r>
    </w:p>
    <w:p w:rsidR="002E73D6" w:rsidRDefault="002E73D6" w:rsidP="00996692">
      <w:pPr>
        <w:spacing w:line="360" w:lineRule="auto"/>
        <w:ind w:firstLineChars="200" w:firstLine="560"/>
        <w:jc w:val="right"/>
        <w:rPr>
          <w:sz w:val="28"/>
          <w:szCs w:val="28"/>
        </w:rPr>
      </w:pPr>
    </w:p>
    <w:sectPr w:rsidR="002E73D6" w:rsidSect="00A05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056D" w:rsidRDefault="0056056D" w:rsidP="00304B88">
      <w:r>
        <w:separator/>
      </w:r>
    </w:p>
  </w:endnote>
  <w:endnote w:type="continuationSeparator" w:id="1">
    <w:p w:rsidR="0056056D" w:rsidRDefault="0056056D" w:rsidP="00304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056D" w:rsidRDefault="0056056D" w:rsidP="00304B88">
      <w:r>
        <w:separator/>
      </w:r>
    </w:p>
  </w:footnote>
  <w:footnote w:type="continuationSeparator" w:id="1">
    <w:p w:rsidR="0056056D" w:rsidRDefault="0056056D" w:rsidP="00304B88">
      <w:r>
        <w:continuationSeparator/>
      </w:r>
    </w:p>
  </w:footnote>
  <w:footnote w:id="2">
    <w:p w:rsidR="00315241" w:rsidRDefault="00315241" w:rsidP="00315241">
      <w:pPr>
        <w:pStyle w:val="a6"/>
      </w:pPr>
      <w:r>
        <w:rPr>
          <w:rStyle w:val="a7"/>
        </w:rPr>
        <w:footnoteRef/>
      </w:r>
      <w:r>
        <w:rPr>
          <w:rFonts w:ascii="宋体" w:eastAsia="宋体" w:hAnsi="宋体" w:hint="eastAsia"/>
          <w:sz w:val="28"/>
          <w:szCs w:val="28"/>
        </w:rPr>
        <w:t>中国目前仅有1</w:t>
      </w:r>
      <w:r>
        <w:rPr>
          <w:rFonts w:ascii="宋体" w:eastAsia="宋体" w:hAnsi="宋体"/>
          <w:sz w:val="28"/>
          <w:szCs w:val="28"/>
        </w:rPr>
        <w:t>0</w:t>
      </w:r>
      <w:r>
        <w:rPr>
          <w:rFonts w:ascii="宋体" w:eastAsia="宋体" w:hAnsi="宋体" w:hint="eastAsia"/>
          <w:sz w:val="28"/>
          <w:szCs w:val="28"/>
        </w:rPr>
        <w:t>所大学被认定为</w:t>
      </w:r>
      <w:r w:rsidRPr="00910E3F">
        <w:rPr>
          <w:rFonts w:ascii="宋体" w:eastAsia="宋体" w:hAnsi="宋体"/>
          <w:sz w:val="28"/>
          <w:szCs w:val="28"/>
        </w:rPr>
        <w:t>精算卓越中心</w:t>
      </w:r>
      <w:r>
        <w:rPr>
          <w:rFonts w:ascii="宋体" w:eastAsia="宋体" w:hAnsi="宋体" w:hint="eastAsia"/>
          <w:sz w:val="28"/>
          <w:szCs w:val="28"/>
        </w:rPr>
        <w:t>。</w:t>
      </w:r>
      <w:hyperlink r:id="rId1" w:history="1">
        <w:r>
          <w:rPr>
            <w:rStyle w:val="a8"/>
          </w:rPr>
          <w:t>https://www.soa.org/institutions/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259"/>
    <w:multiLevelType w:val="hybridMultilevel"/>
    <w:tmpl w:val="E1E801DE"/>
    <w:lvl w:ilvl="0" w:tplc="1F1A8B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F7378A"/>
    <w:multiLevelType w:val="hybridMultilevel"/>
    <w:tmpl w:val="4030F562"/>
    <w:lvl w:ilvl="0" w:tplc="E6FCDDC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78F05060"/>
    <w:multiLevelType w:val="hybridMultilevel"/>
    <w:tmpl w:val="4030F562"/>
    <w:lvl w:ilvl="0" w:tplc="E6FCDDC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7DCF"/>
    <w:rsid w:val="000223FB"/>
    <w:rsid w:val="000302C3"/>
    <w:rsid w:val="000A0DC6"/>
    <w:rsid w:val="000A6208"/>
    <w:rsid w:val="000A7082"/>
    <w:rsid w:val="000B0CC9"/>
    <w:rsid w:val="000B5F0D"/>
    <w:rsid w:val="000D4AFB"/>
    <w:rsid w:val="000E586E"/>
    <w:rsid w:val="000E755E"/>
    <w:rsid w:val="00105557"/>
    <w:rsid w:val="001071C2"/>
    <w:rsid w:val="001577BF"/>
    <w:rsid w:val="00172318"/>
    <w:rsid w:val="001966B4"/>
    <w:rsid w:val="001A0EFA"/>
    <w:rsid w:val="001A269D"/>
    <w:rsid w:val="001C489F"/>
    <w:rsid w:val="001D314A"/>
    <w:rsid w:val="001E30C7"/>
    <w:rsid w:val="001E4F86"/>
    <w:rsid w:val="001E5621"/>
    <w:rsid w:val="001E5F07"/>
    <w:rsid w:val="00201F0C"/>
    <w:rsid w:val="0020651B"/>
    <w:rsid w:val="00212A65"/>
    <w:rsid w:val="002174A2"/>
    <w:rsid w:val="00217CD5"/>
    <w:rsid w:val="002422C4"/>
    <w:rsid w:val="00251613"/>
    <w:rsid w:val="002603C1"/>
    <w:rsid w:val="002818A2"/>
    <w:rsid w:val="00287937"/>
    <w:rsid w:val="00296D73"/>
    <w:rsid w:val="00297795"/>
    <w:rsid w:val="002A7241"/>
    <w:rsid w:val="002D0057"/>
    <w:rsid w:val="002D4BAF"/>
    <w:rsid w:val="002D4F9F"/>
    <w:rsid w:val="002E48FA"/>
    <w:rsid w:val="002E73D6"/>
    <w:rsid w:val="00304B88"/>
    <w:rsid w:val="00306A15"/>
    <w:rsid w:val="00311FA8"/>
    <w:rsid w:val="00315241"/>
    <w:rsid w:val="0032051B"/>
    <w:rsid w:val="00335AB0"/>
    <w:rsid w:val="00363910"/>
    <w:rsid w:val="00375523"/>
    <w:rsid w:val="0038197A"/>
    <w:rsid w:val="003819FF"/>
    <w:rsid w:val="003A0D0D"/>
    <w:rsid w:val="003A5D7E"/>
    <w:rsid w:val="003B33ED"/>
    <w:rsid w:val="003D6638"/>
    <w:rsid w:val="00401D50"/>
    <w:rsid w:val="004173C2"/>
    <w:rsid w:val="0042151F"/>
    <w:rsid w:val="00426E5E"/>
    <w:rsid w:val="00430B46"/>
    <w:rsid w:val="00440034"/>
    <w:rsid w:val="004420E3"/>
    <w:rsid w:val="00444E62"/>
    <w:rsid w:val="004458C6"/>
    <w:rsid w:val="00445A05"/>
    <w:rsid w:val="00447910"/>
    <w:rsid w:val="00451629"/>
    <w:rsid w:val="00463224"/>
    <w:rsid w:val="004828E2"/>
    <w:rsid w:val="00485A45"/>
    <w:rsid w:val="004866C1"/>
    <w:rsid w:val="004909A9"/>
    <w:rsid w:val="004933CF"/>
    <w:rsid w:val="004B0CAD"/>
    <w:rsid w:val="004C31F1"/>
    <w:rsid w:val="004D03C1"/>
    <w:rsid w:val="004D25C0"/>
    <w:rsid w:val="004D6F02"/>
    <w:rsid w:val="004E3A17"/>
    <w:rsid w:val="004E7368"/>
    <w:rsid w:val="004F1BB2"/>
    <w:rsid w:val="00506DD9"/>
    <w:rsid w:val="00522079"/>
    <w:rsid w:val="005359DD"/>
    <w:rsid w:val="0053673F"/>
    <w:rsid w:val="0056056D"/>
    <w:rsid w:val="00566196"/>
    <w:rsid w:val="005669D1"/>
    <w:rsid w:val="00576126"/>
    <w:rsid w:val="00576D54"/>
    <w:rsid w:val="006148DD"/>
    <w:rsid w:val="0064723D"/>
    <w:rsid w:val="00661CC2"/>
    <w:rsid w:val="006B1BB1"/>
    <w:rsid w:val="006C48AC"/>
    <w:rsid w:val="006C4B09"/>
    <w:rsid w:val="006D21C8"/>
    <w:rsid w:val="006D272B"/>
    <w:rsid w:val="006D2BAB"/>
    <w:rsid w:val="006D3362"/>
    <w:rsid w:val="006E2471"/>
    <w:rsid w:val="006E6DBF"/>
    <w:rsid w:val="00700AA4"/>
    <w:rsid w:val="00700C4B"/>
    <w:rsid w:val="00726562"/>
    <w:rsid w:val="00734E64"/>
    <w:rsid w:val="0074004F"/>
    <w:rsid w:val="007447D7"/>
    <w:rsid w:val="00745BC1"/>
    <w:rsid w:val="00747C04"/>
    <w:rsid w:val="007609E9"/>
    <w:rsid w:val="0076469A"/>
    <w:rsid w:val="00785E05"/>
    <w:rsid w:val="00795888"/>
    <w:rsid w:val="00797155"/>
    <w:rsid w:val="007975EC"/>
    <w:rsid w:val="007B4B10"/>
    <w:rsid w:val="007C01E7"/>
    <w:rsid w:val="007C5724"/>
    <w:rsid w:val="007D13E5"/>
    <w:rsid w:val="007E403F"/>
    <w:rsid w:val="00815498"/>
    <w:rsid w:val="00833791"/>
    <w:rsid w:val="00835206"/>
    <w:rsid w:val="008375ED"/>
    <w:rsid w:val="00842620"/>
    <w:rsid w:val="0084580F"/>
    <w:rsid w:val="00881D88"/>
    <w:rsid w:val="008A7DCF"/>
    <w:rsid w:val="008B0C6B"/>
    <w:rsid w:val="008B7012"/>
    <w:rsid w:val="008D2002"/>
    <w:rsid w:val="008D2B52"/>
    <w:rsid w:val="008D52FF"/>
    <w:rsid w:val="008D6A5A"/>
    <w:rsid w:val="008E1388"/>
    <w:rsid w:val="008E553B"/>
    <w:rsid w:val="008F1FA0"/>
    <w:rsid w:val="008F26C0"/>
    <w:rsid w:val="008F3E8F"/>
    <w:rsid w:val="00902F60"/>
    <w:rsid w:val="0090304D"/>
    <w:rsid w:val="00910E3F"/>
    <w:rsid w:val="00922A99"/>
    <w:rsid w:val="009519D9"/>
    <w:rsid w:val="009612D1"/>
    <w:rsid w:val="009707EB"/>
    <w:rsid w:val="00981023"/>
    <w:rsid w:val="00996692"/>
    <w:rsid w:val="009A4A3E"/>
    <w:rsid w:val="009B0174"/>
    <w:rsid w:val="009C3343"/>
    <w:rsid w:val="009C50CF"/>
    <w:rsid w:val="009C6555"/>
    <w:rsid w:val="009D6558"/>
    <w:rsid w:val="009E2956"/>
    <w:rsid w:val="00A05B92"/>
    <w:rsid w:val="00A138B0"/>
    <w:rsid w:val="00A147F9"/>
    <w:rsid w:val="00A16D6F"/>
    <w:rsid w:val="00A20524"/>
    <w:rsid w:val="00A25575"/>
    <w:rsid w:val="00A40DFF"/>
    <w:rsid w:val="00A43FD0"/>
    <w:rsid w:val="00A51F08"/>
    <w:rsid w:val="00A60FED"/>
    <w:rsid w:val="00A65B8E"/>
    <w:rsid w:val="00A84010"/>
    <w:rsid w:val="00AA05F2"/>
    <w:rsid w:val="00AA21CA"/>
    <w:rsid w:val="00AB0A7A"/>
    <w:rsid w:val="00AB77E5"/>
    <w:rsid w:val="00AD2DF8"/>
    <w:rsid w:val="00AD3790"/>
    <w:rsid w:val="00AE1B27"/>
    <w:rsid w:val="00AE35E6"/>
    <w:rsid w:val="00AF05B6"/>
    <w:rsid w:val="00AF190B"/>
    <w:rsid w:val="00B15472"/>
    <w:rsid w:val="00B50971"/>
    <w:rsid w:val="00B70068"/>
    <w:rsid w:val="00B77D49"/>
    <w:rsid w:val="00B8115B"/>
    <w:rsid w:val="00B81257"/>
    <w:rsid w:val="00BA2DDE"/>
    <w:rsid w:val="00BC10F9"/>
    <w:rsid w:val="00BC7725"/>
    <w:rsid w:val="00BD0F10"/>
    <w:rsid w:val="00BF14D4"/>
    <w:rsid w:val="00BF379A"/>
    <w:rsid w:val="00C0554D"/>
    <w:rsid w:val="00C10206"/>
    <w:rsid w:val="00C21BCE"/>
    <w:rsid w:val="00C21C60"/>
    <w:rsid w:val="00C237A8"/>
    <w:rsid w:val="00C40F34"/>
    <w:rsid w:val="00C62087"/>
    <w:rsid w:val="00C632D1"/>
    <w:rsid w:val="00C65626"/>
    <w:rsid w:val="00C75FE9"/>
    <w:rsid w:val="00C772DC"/>
    <w:rsid w:val="00C84B96"/>
    <w:rsid w:val="00C9438F"/>
    <w:rsid w:val="00C97FA3"/>
    <w:rsid w:val="00CA16AF"/>
    <w:rsid w:val="00CA63A2"/>
    <w:rsid w:val="00CB2E85"/>
    <w:rsid w:val="00CB6E1A"/>
    <w:rsid w:val="00CB7E3E"/>
    <w:rsid w:val="00CC1D9F"/>
    <w:rsid w:val="00CD27E6"/>
    <w:rsid w:val="00CF12CF"/>
    <w:rsid w:val="00D00805"/>
    <w:rsid w:val="00D00B9F"/>
    <w:rsid w:val="00D00F6D"/>
    <w:rsid w:val="00D07FAC"/>
    <w:rsid w:val="00D16F72"/>
    <w:rsid w:val="00D17B9F"/>
    <w:rsid w:val="00D45C04"/>
    <w:rsid w:val="00D51CF8"/>
    <w:rsid w:val="00D61F35"/>
    <w:rsid w:val="00D7324C"/>
    <w:rsid w:val="00D745CA"/>
    <w:rsid w:val="00D817EA"/>
    <w:rsid w:val="00D95F04"/>
    <w:rsid w:val="00DA34C9"/>
    <w:rsid w:val="00DA5407"/>
    <w:rsid w:val="00DB3607"/>
    <w:rsid w:val="00DC54DF"/>
    <w:rsid w:val="00DD0920"/>
    <w:rsid w:val="00DD54C3"/>
    <w:rsid w:val="00E155C7"/>
    <w:rsid w:val="00E236B3"/>
    <w:rsid w:val="00E37401"/>
    <w:rsid w:val="00E440F6"/>
    <w:rsid w:val="00E51709"/>
    <w:rsid w:val="00E53DB8"/>
    <w:rsid w:val="00E54181"/>
    <w:rsid w:val="00E55444"/>
    <w:rsid w:val="00E570B7"/>
    <w:rsid w:val="00E60AFC"/>
    <w:rsid w:val="00E66DBE"/>
    <w:rsid w:val="00E72946"/>
    <w:rsid w:val="00E72FE3"/>
    <w:rsid w:val="00E7493E"/>
    <w:rsid w:val="00E834BB"/>
    <w:rsid w:val="00E8707C"/>
    <w:rsid w:val="00EA7971"/>
    <w:rsid w:val="00EB0EA1"/>
    <w:rsid w:val="00EB337E"/>
    <w:rsid w:val="00EC4A85"/>
    <w:rsid w:val="00EC72AB"/>
    <w:rsid w:val="00EC7452"/>
    <w:rsid w:val="00EC793D"/>
    <w:rsid w:val="00ED20B9"/>
    <w:rsid w:val="00ED2D20"/>
    <w:rsid w:val="00ED5FBA"/>
    <w:rsid w:val="00EE397E"/>
    <w:rsid w:val="00EE5BD5"/>
    <w:rsid w:val="00F012F3"/>
    <w:rsid w:val="00F035FB"/>
    <w:rsid w:val="00F10487"/>
    <w:rsid w:val="00F31318"/>
    <w:rsid w:val="00F3363E"/>
    <w:rsid w:val="00F371FA"/>
    <w:rsid w:val="00F50117"/>
    <w:rsid w:val="00F621C7"/>
    <w:rsid w:val="00F65918"/>
    <w:rsid w:val="00F73FD0"/>
    <w:rsid w:val="00F81F63"/>
    <w:rsid w:val="00F9221F"/>
    <w:rsid w:val="00FA59A1"/>
    <w:rsid w:val="00FA5DDF"/>
    <w:rsid w:val="00FC37A5"/>
    <w:rsid w:val="00FC3B5E"/>
    <w:rsid w:val="00FC7F49"/>
    <w:rsid w:val="00FE6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4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4B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4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4B88"/>
    <w:rPr>
      <w:sz w:val="18"/>
      <w:szCs w:val="18"/>
    </w:rPr>
  </w:style>
  <w:style w:type="paragraph" w:styleId="a5">
    <w:name w:val="List Paragraph"/>
    <w:basedOn w:val="a"/>
    <w:uiPriority w:val="34"/>
    <w:qFormat/>
    <w:rsid w:val="00BD0F10"/>
    <w:pPr>
      <w:ind w:firstLineChars="200" w:firstLine="420"/>
    </w:pPr>
  </w:style>
  <w:style w:type="paragraph" w:styleId="a6">
    <w:name w:val="footnote text"/>
    <w:basedOn w:val="a"/>
    <w:link w:val="Char1"/>
    <w:uiPriority w:val="99"/>
    <w:semiHidden/>
    <w:unhideWhenUsed/>
    <w:rsid w:val="0057612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576126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57612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981023"/>
    <w:rPr>
      <w:color w:val="0000FF"/>
      <w:u w:val="single"/>
    </w:rPr>
  </w:style>
  <w:style w:type="paragraph" w:styleId="a9">
    <w:name w:val="Date"/>
    <w:basedOn w:val="a"/>
    <w:next w:val="a"/>
    <w:link w:val="Char2"/>
    <w:uiPriority w:val="99"/>
    <w:semiHidden/>
    <w:unhideWhenUsed/>
    <w:rsid w:val="002E73D6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2E73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1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a.org/institutions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8958-6CA0-4A4F-B553-B1D5F08C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221101</cp:lastModifiedBy>
  <cp:revision>93</cp:revision>
  <dcterms:created xsi:type="dcterms:W3CDTF">2019-07-19T09:19:00Z</dcterms:created>
  <dcterms:modified xsi:type="dcterms:W3CDTF">2019-11-29T02:01:00Z</dcterms:modified>
</cp:coreProperties>
</file>