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b/>
          <w:color w:val="585858"/>
          <w:sz w:val="36"/>
          <w:szCs w:val="36"/>
        </w:rPr>
      </w:pPr>
      <w:r>
        <w:rPr>
          <w:rFonts w:hint="eastAsia" w:ascii="方正小标宋简体" w:eastAsia="方正小标宋简体"/>
          <w:b/>
          <w:color w:val="585858"/>
          <w:sz w:val="36"/>
          <w:szCs w:val="36"/>
        </w:rPr>
        <w:t>保险学院校内讲座、报告会和研讨会管理办法</w:t>
      </w:r>
    </w:p>
    <w:p>
      <w:pPr>
        <w:pStyle w:val="5"/>
        <w:shd w:val="clear" w:color="auto" w:fill="FFFFFF"/>
        <w:spacing w:before="0" w:beforeAutospacing="0" w:after="0" w:afterAutospacing="0"/>
        <w:ind w:firstLine="640"/>
        <w:jc w:val="both"/>
        <w:rPr>
          <w:rFonts w:ascii="仿宋_GB2312" w:eastAsia="仿宋_GB2312"/>
          <w:color w:val="585858"/>
          <w:sz w:val="32"/>
          <w:szCs w:val="32"/>
        </w:rPr>
      </w:pP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根据《中共上海立信会计金融学院委员会关于落实意识形态工作责任制实施办法》（立信会计金融党宣〔2017〕5号）的有关精神，特制定本办法。</w:t>
      </w:r>
    </w:p>
    <w:p>
      <w:pPr>
        <w:pStyle w:val="5"/>
        <w:shd w:val="clear" w:color="auto" w:fill="FFFFFF"/>
        <w:spacing w:before="0" w:beforeAutospacing="0" w:after="0" w:afterAutospacing="0" w:line="520" w:lineRule="exact"/>
        <w:ind w:firstLine="640"/>
        <w:jc w:val="both"/>
        <w:rPr>
          <w:rFonts w:asciiTheme="majorEastAsia" w:hAnsiTheme="majorEastAsia" w:eastAsiaTheme="majorEastAsia"/>
          <w:b/>
          <w:bCs/>
          <w:color w:val="585858"/>
          <w:sz w:val="32"/>
          <w:szCs w:val="32"/>
        </w:rPr>
      </w:pPr>
      <w:r>
        <w:rPr>
          <w:rFonts w:asciiTheme="majorEastAsia" w:hAnsiTheme="majorEastAsia" w:eastAsiaTheme="majorEastAsia"/>
          <w:b/>
          <w:bCs/>
          <w:color w:val="585858"/>
          <w:sz w:val="32"/>
          <w:szCs w:val="32"/>
        </w:rPr>
        <w:t>一</w:t>
      </w:r>
      <w:r>
        <w:rPr>
          <w:rFonts w:hint="eastAsia" w:asciiTheme="majorEastAsia" w:hAnsiTheme="majorEastAsia" w:eastAsiaTheme="majorEastAsia"/>
          <w:b/>
          <w:bCs/>
          <w:color w:val="585858"/>
          <w:sz w:val="32"/>
          <w:szCs w:val="32"/>
        </w:rPr>
        <w:t>、</w:t>
      </w:r>
      <w:r>
        <w:rPr>
          <w:rFonts w:asciiTheme="majorEastAsia" w:hAnsiTheme="majorEastAsia" w:eastAsiaTheme="majorEastAsia"/>
          <w:b/>
          <w:bCs/>
          <w:color w:val="585858"/>
          <w:sz w:val="32"/>
          <w:szCs w:val="32"/>
        </w:rPr>
        <w:t>管理范围</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学院、系（所）单独或与校外单位联合举办的时政类、科研、学术类、课堂教学类、文化艺术类</w:t>
      </w:r>
      <w:r>
        <w:rPr>
          <w:rFonts w:hint="eastAsia" w:ascii="仿宋_GB2312" w:eastAsia="仿宋_GB2312"/>
          <w:color w:val="585858"/>
          <w:sz w:val="32"/>
          <w:szCs w:val="32"/>
        </w:rPr>
        <w:t>等以及其他各种类型的讲座、报告会、研讨会等，均应履行相应的备案或审批手续。</w:t>
      </w:r>
    </w:p>
    <w:p>
      <w:pPr>
        <w:pStyle w:val="5"/>
        <w:shd w:val="clear" w:color="auto" w:fill="FFFFFF"/>
        <w:spacing w:before="0" w:beforeAutospacing="0" w:after="0" w:afterAutospacing="0" w:line="520" w:lineRule="exact"/>
        <w:ind w:firstLine="640"/>
        <w:jc w:val="both"/>
        <w:rPr>
          <w:rFonts w:asciiTheme="majorEastAsia" w:hAnsiTheme="majorEastAsia" w:eastAsiaTheme="majorEastAsia"/>
          <w:b/>
          <w:bCs/>
          <w:color w:val="585858"/>
          <w:sz w:val="32"/>
          <w:szCs w:val="32"/>
        </w:rPr>
      </w:pPr>
      <w:r>
        <w:rPr>
          <w:rFonts w:hint="eastAsia" w:asciiTheme="majorEastAsia" w:hAnsiTheme="majorEastAsia" w:eastAsiaTheme="majorEastAsia"/>
          <w:b/>
          <w:bCs/>
          <w:color w:val="585858"/>
          <w:sz w:val="32"/>
          <w:szCs w:val="32"/>
        </w:rPr>
        <w:t>二、遵循原则</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1、举办讲座必须坚持正确的思想导向，以推动科学研究、繁荣校园文化、促进学术交流和提高师生素质为总要求。组织讲座必须遵守宪法、法律和学校的规章制度，不得损害国家、社会、学校的利益和公民的合法权益。</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2、邀请校外人员来校或学院作讲座，邀请者或主办者需向学院或学校申请审批，应当提前至少一周时间申请。审批方应对被邀请人的相关情况,资格和立场进行审核。</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b/>
          <w:bCs/>
          <w:color w:val="585858"/>
          <w:sz w:val="32"/>
          <w:szCs w:val="32"/>
        </w:rPr>
        <w:t>3、</w:t>
      </w:r>
      <w:r>
        <w:rPr>
          <w:rFonts w:hint="eastAsia" w:ascii="仿宋_GB2312" w:eastAsia="仿宋_GB2312"/>
          <w:color w:val="585858"/>
          <w:sz w:val="32"/>
          <w:szCs w:val="32"/>
        </w:rPr>
        <w:t>邀请境外人员来校作讲座，须按外事审批程序上报。举办与会者来自3个以上国家和地区（不含港、澳、台地区）的会议、论坛、研讨会、交流会等，要严格按照《中共中央办公厅、国务院办公厅印发〈关于在华举办国际会议的管理办法〉的通知》（中办发〔2006〕10号）的有关规定，提前3个月报批。</w:t>
      </w:r>
    </w:p>
    <w:p>
      <w:pPr>
        <w:pStyle w:val="5"/>
        <w:shd w:val="clear" w:color="auto" w:fill="FFFFFF"/>
        <w:spacing w:before="0" w:beforeAutospacing="0" w:after="0" w:afterAutospacing="0" w:line="520" w:lineRule="exact"/>
        <w:ind w:firstLine="640"/>
        <w:jc w:val="both"/>
        <w:rPr>
          <w:rFonts w:asciiTheme="majorEastAsia" w:hAnsiTheme="majorEastAsia" w:eastAsiaTheme="majorEastAsia"/>
          <w:b/>
          <w:bCs/>
          <w:color w:val="585858"/>
          <w:sz w:val="32"/>
          <w:szCs w:val="32"/>
        </w:rPr>
      </w:pPr>
      <w:r>
        <w:rPr>
          <w:rFonts w:asciiTheme="majorEastAsia" w:hAnsiTheme="majorEastAsia" w:eastAsiaTheme="majorEastAsia"/>
          <w:b/>
          <w:bCs/>
          <w:color w:val="585858"/>
          <w:sz w:val="32"/>
          <w:szCs w:val="32"/>
        </w:rPr>
        <w:t>三</w:t>
      </w:r>
      <w:r>
        <w:rPr>
          <w:rFonts w:hint="eastAsia" w:asciiTheme="majorEastAsia" w:hAnsiTheme="majorEastAsia" w:eastAsiaTheme="majorEastAsia"/>
          <w:b/>
          <w:bCs/>
          <w:color w:val="585858"/>
          <w:sz w:val="32"/>
          <w:szCs w:val="32"/>
        </w:rPr>
        <w:t>、</w:t>
      </w:r>
      <w:r>
        <w:rPr>
          <w:rFonts w:asciiTheme="majorEastAsia" w:hAnsiTheme="majorEastAsia" w:eastAsiaTheme="majorEastAsia"/>
          <w:b/>
          <w:bCs/>
          <w:color w:val="585858"/>
          <w:sz w:val="32"/>
          <w:szCs w:val="32"/>
        </w:rPr>
        <w:t>学院审批事项</w:t>
      </w:r>
    </w:p>
    <w:p>
      <w:pPr>
        <w:pStyle w:val="5"/>
        <w:shd w:val="clear" w:color="auto" w:fill="FFFFFF"/>
        <w:spacing w:before="0" w:beforeAutospacing="0" w:after="0" w:afterAutospacing="0" w:line="520" w:lineRule="exact"/>
        <w:ind w:firstLine="640"/>
        <w:jc w:val="both"/>
        <w:rPr>
          <w:rFonts w:ascii="仿宋_GB2312" w:eastAsia="仿宋_GB2312"/>
          <w:color w:val="585858"/>
          <w:sz w:val="32"/>
          <w:szCs w:val="32"/>
        </w:rPr>
      </w:pPr>
      <w:r>
        <w:rPr>
          <w:rFonts w:hint="eastAsia" w:ascii="仿宋_GB2312" w:eastAsia="仿宋_GB2312"/>
          <w:color w:val="585858"/>
          <w:sz w:val="32"/>
          <w:szCs w:val="32"/>
        </w:rPr>
        <w:t>1、学院、系（所）因工作需要在本单位内部举办，或与校外单位联合举办的时政类、文化艺术类的讲座、报告会、研讨会等，需填写《保险学院讲座、报告会、研讨会开设申请表》，按工作归口管理的原则报分管领导审核，并报党总支书记审批</w:t>
      </w:r>
      <w:r>
        <w:rPr>
          <w:rFonts w:hint="eastAsia" w:ascii="仿宋_GB2312" w:eastAsia="仿宋_GB2312"/>
          <w:color w:val="585858"/>
          <w:sz w:val="32"/>
          <w:szCs w:val="32"/>
          <w:lang w:eastAsia="zh-CN"/>
        </w:rPr>
        <w:t>，</w:t>
      </w:r>
      <w:bookmarkStart w:id="0" w:name="_GoBack"/>
      <w:bookmarkEnd w:id="0"/>
      <w:r>
        <w:rPr>
          <w:rFonts w:hint="eastAsia" w:ascii="仿宋_GB2312" w:eastAsia="仿宋_GB2312"/>
          <w:color w:val="585858"/>
          <w:sz w:val="32"/>
          <w:szCs w:val="32"/>
        </w:rPr>
        <w:t xml:space="preserve">学院办公室备案。 </w:t>
      </w:r>
    </w:p>
    <w:p>
      <w:pPr>
        <w:pStyle w:val="5"/>
        <w:shd w:val="clear" w:color="auto" w:fill="FFFFFF"/>
        <w:spacing w:before="0" w:beforeAutospacing="0" w:after="0" w:afterAutospacing="0" w:line="520" w:lineRule="exact"/>
        <w:ind w:firstLine="640"/>
        <w:jc w:val="both"/>
        <w:rPr>
          <w:rFonts w:ascii="仿宋_GB2312" w:eastAsia="仿宋_GB2312"/>
          <w:color w:val="585858"/>
          <w:sz w:val="32"/>
          <w:szCs w:val="32"/>
        </w:rPr>
      </w:pPr>
      <w:r>
        <w:rPr>
          <w:rFonts w:ascii="仿宋_GB2312" w:eastAsia="仿宋_GB2312"/>
          <w:color w:val="585858"/>
          <w:sz w:val="32"/>
          <w:szCs w:val="32"/>
        </w:rPr>
        <w:t>2</w:t>
      </w:r>
      <w:r>
        <w:rPr>
          <w:rFonts w:hint="eastAsia" w:ascii="仿宋_GB2312" w:eastAsia="仿宋_GB2312"/>
          <w:color w:val="585858"/>
          <w:sz w:val="32"/>
          <w:szCs w:val="32"/>
        </w:rPr>
        <w:t>、学院、系（所）</w:t>
      </w:r>
      <w:r>
        <w:rPr>
          <w:rFonts w:hint="eastAsia" w:ascii="仿宋_GB2312" w:eastAsia="仿宋_GB2312"/>
          <w:color w:val="585858"/>
          <w:sz w:val="32"/>
          <w:szCs w:val="32"/>
          <w:highlight w:val="none"/>
        </w:rPr>
        <w:t>或教师个人</w:t>
      </w:r>
      <w:r>
        <w:rPr>
          <w:rFonts w:hint="eastAsia" w:ascii="仿宋_GB2312" w:eastAsia="仿宋_GB2312"/>
          <w:color w:val="585858"/>
          <w:sz w:val="32"/>
          <w:szCs w:val="32"/>
        </w:rPr>
        <w:t xml:space="preserve">因工作需要在本单位内部举办，或与校外单位联合举办的科研、学术类、课堂教学类和学业、职业、就业类的讲座、报告会、研讨会等，需填写《保险学院讲座、报告会、研讨会开设申请表》，按工作归口管理的原则报分管领导审核，并报院长审批，学院办公室备案。 </w:t>
      </w:r>
    </w:p>
    <w:p>
      <w:pPr>
        <w:pStyle w:val="5"/>
        <w:shd w:val="clear" w:color="auto" w:fill="FFFFFF"/>
        <w:spacing w:before="0" w:beforeAutospacing="0" w:after="0" w:afterAutospacing="0" w:line="520" w:lineRule="exact"/>
        <w:ind w:firstLine="640"/>
        <w:jc w:val="both"/>
        <w:rPr>
          <w:rFonts w:asciiTheme="majorEastAsia" w:hAnsiTheme="majorEastAsia" w:eastAsiaTheme="majorEastAsia"/>
          <w:b/>
          <w:bCs/>
          <w:color w:val="585858"/>
          <w:sz w:val="32"/>
          <w:szCs w:val="32"/>
        </w:rPr>
      </w:pPr>
      <w:r>
        <w:rPr>
          <w:rFonts w:asciiTheme="majorEastAsia" w:hAnsiTheme="majorEastAsia" w:eastAsiaTheme="majorEastAsia"/>
          <w:b/>
          <w:bCs/>
          <w:color w:val="585858"/>
          <w:sz w:val="32"/>
          <w:szCs w:val="32"/>
        </w:rPr>
        <w:t>四</w:t>
      </w:r>
      <w:r>
        <w:rPr>
          <w:rFonts w:hint="eastAsia" w:asciiTheme="majorEastAsia" w:hAnsiTheme="majorEastAsia" w:eastAsiaTheme="majorEastAsia"/>
          <w:b/>
          <w:bCs/>
          <w:color w:val="585858"/>
          <w:sz w:val="32"/>
          <w:szCs w:val="32"/>
        </w:rPr>
        <w:t>、</w:t>
      </w:r>
      <w:r>
        <w:rPr>
          <w:rFonts w:asciiTheme="majorEastAsia" w:hAnsiTheme="majorEastAsia" w:eastAsiaTheme="majorEastAsia"/>
          <w:b/>
          <w:bCs/>
          <w:color w:val="585858"/>
          <w:sz w:val="32"/>
          <w:szCs w:val="32"/>
        </w:rPr>
        <w:t>学校审批事项</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学院及个人举办面向全校的讲座，需履行以下审批手续：</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1、主办者通过校园网党委宣传部网页下载专区下载并填写《上海立信会计金融学院讲座、报告会、研讨会开设申请表》。</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2、主办者按归口管理的原则报相关部门审批：各单位和部门主办的讲座，须经部门负责人同意签字后，时政类讲座送交党委宣传部审批，学术类讲座送科研处审批，教学类讲座送教务处审批，文化艺术类讲座送校团委审批。涉外及港澳台地区讲座还须经国际交流处审批；涉及宗教的讲座需专门报党委统战部审批。所有活动均须报宣传部备案。</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color w:val="585858"/>
          <w:sz w:val="32"/>
          <w:szCs w:val="32"/>
        </w:rPr>
        <w:t>3、主办者也可通过学校OA申请，完成审批流程：通过校内请示流程申请，并将填写好的《上海立信会计金融学院讲座、报告会、研讨会开设申请表》作为附件。</w:t>
      </w:r>
    </w:p>
    <w:p>
      <w:pPr>
        <w:pStyle w:val="5"/>
        <w:shd w:val="clear" w:color="auto" w:fill="FFFFFF"/>
        <w:spacing w:before="0" w:beforeAutospacing="0" w:after="0" w:afterAutospacing="0" w:line="520" w:lineRule="exact"/>
        <w:ind w:firstLine="640"/>
        <w:jc w:val="both"/>
        <w:rPr>
          <w:color w:val="585858"/>
          <w:sz w:val="21"/>
          <w:szCs w:val="21"/>
        </w:rPr>
      </w:pPr>
      <w:r>
        <w:rPr>
          <w:rFonts w:hint="eastAsia" w:ascii="仿宋_GB2312" w:eastAsia="仿宋_GB2312"/>
          <w:b/>
          <w:bCs/>
          <w:color w:val="585858"/>
          <w:sz w:val="32"/>
          <w:szCs w:val="32"/>
        </w:rPr>
        <w:t>五、本办法自发布之日起施行</w:t>
      </w:r>
      <w:r>
        <w:rPr>
          <w:color w:val="585858"/>
          <w:sz w:val="21"/>
          <w:szCs w:val="21"/>
        </w:rPr>
        <w:t xml:space="preserve"> </w:t>
      </w:r>
    </w:p>
    <w:p>
      <w:pPr>
        <w:pStyle w:val="5"/>
        <w:shd w:val="clear" w:color="auto" w:fill="FFFFFF"/>
        <w:spacing w:before="0" w:beforeAutospacing="0" w:after="0" w:afterAutospacing="0" w:line="520" w:lineRule="exact"/>
        <w:ind w:firstLine="640"/>
        <w:jc w:val="both"/>
        <w:rPr>
          <w:rFonts w:ascii="仿宋_GB2312" w:eastAsia="仿宋_GB2312"/>
          <w:b/>
          <w:bCs/>
          <w:color w:val="585858"/>
          <w:sz w:val="32"/>
          <w:szCs w:val="32"/>
        </w:rPr>
      </w:pPr>
      <w:r>
        <w:rPr>
          <w:rFonts w:hint="eastAsia" w:ascii="仿宋_GB2312" w:eastAsia="仿宋_GB2312"/>
          <w:b/>
          <w:bCs/>
          <w:color w:val="585858"/>
          <w:sz w:val="32"/>
          <w:szCs w:val="32"/>
        </w:rPr>
        <w:t xml:space="preserve"> </w:t>
      </w:r>
      <w:r>
        <w:rPr>
          <w:rFonts w:ascii="仿宋_GB2312" w:eastAsia="仿宋_GB2312"/>
          <w:b/>
          <w:bCs/>
          <w:color w:val="585858"/>
          <w:sz w:val="32"/>
          <w:szCs w:val="32"/>
        </w:rPr>
        <w:t xml:space="preserve">                          </w:t>
      </w:r>
    </w:p>
    <w:p>
      <w:pPr>
        <w:pStyle w:val="5"/>
        <w:shd w:val="clear" w:color="auto" w:fill="FFFFFF"/>
        <w:spacing w:before="0" w:beforeAutospacing="0" w:after="0" w:afterAutospacing="0" w:line="520" w:lineRule="exact"/>
        <w:ind w:firstLine="640"/>
        <w:jc w:val="both"/>
        <w:rPr>
          <w:rFonts w:ascii="仿宋_GB2312" w:eastAsia="仿宋_GB2312"/>
          <w:b/>
          <w:bCs/>
          <w:color w:val="585858"/>
          <w:sz w:val="32"/>
          <w:szCs w:val="32"/>
        </w:rPr>
      </w:pPr>
    </w:p>
    <w:p>
      <w:pPr>
        <w:pStyle w:val="5"/>
        <w:shd w:val="clear" w:color="auto" w:fill="FFFFFF"/>
        <w:spacing w:before="0" w:beforeAutospacing="0" w:after="0" w:afterAutospacing="0" w:line="520" w:lineRule="exact"/>
        <w:ind w:firstLine="640"/>
        <w:jc w:val="right"/>
        <w:rPr>
          <w:rFonts w:ascii="仿宋_GB2312" w:eastAsia="仿宋_GB2312"/>
          <w:color w:val="585858"/>
          <w:sz w:val="32"/>
          <w:szCs w:val="32"/>
        </w:rPr>
      </w:pPr>
      <w:r>
        <w:rPr>
          <w:rFonts w:ascii="仿宋_GB2312" w:eastAsia="仿宋_GB2312"/>
          <w:color w:val="585858"/>
          <w:sz w:val="32"/>
          <w:szCs w:val="32"/>
        </w:rPr>
        <w:t>保险学院</w:t>
      </w:r>
      <w:r>
        <w:rPr>
          <w:rFonts w:hint="eastAsia" w:ascii="仿宋_GB2312" w:eastAsia="仿宋_GB2312"/>
          <w:color w:val="585858"/>
          <w:sz w:val="32"/>
          <w:szCs w:val="32"/>
        </w:rPr>
        <w:t xml:space="preserve"> </w:t>
      </w:r>
      <w:r>
        <w:rPr>
          <w:rFonts w:ascii="仿宋_GB2312" w:eastAsia="仿宋_GB2312"/>
          <w:color w:val="585858"/>
          <w:sz w:val="32"/>
          <w:szCs w:val="32"/>
        </w:rPr>
        <w:t xml:space="preserve">                </w:t>
      </w:r>
    </w:p>
    <w:p>
      <w:pPr>
        <w:spacing w:line="520" w:lineRule="exact"/>
        <w:jc w:val="right"/>
        <w:rPr>
          <w:rFonts w:ascii="仿宋_GB2312" w:hAnsi="宋体" w:eastAsia="仿宋_GB2312" w:cs="宋体"/>
          <w:color w:val="585858"/>
          <w:kern w:val="0"/>
          <w:sz w:val="32"/>
          <w:szCs w:val="32"/>
        </w:rPr>
      </w:pPr>
      <w:r>
        <w:rPr>
          <w:rFonts w:hint="eastAsia" w:ascii="仿宋_GB2312" w:hAnsi="宋体" w:eastAsia="仿宋_GB2312" w:cs="宋体"/>
          <w:color w:val="585858"/>
          <w:kern w:val="0"/>
          <w:sz w:val="32"/>
          <w:szCs w:val="32"/>
        </w:rPr>
        <w:t xml:space="preserve"> </w:t>
      </w:r>
      <w:r>
        <w:rPr>
          <w:rFonts w:ascii="仿宋_GB2312" w:hAnsi="宋体" w:eastAsia="仿宋_GB2312" w:cs="宋体"/>
          <w:color w:val="585858"/>
          <w:kern w:val="0"/>
          <w:sz w:val="32"/>
          <w:szCs w:val="32"/>
        </w:rPr>
        <w:t xml:space="preserve">                         </w:t>
      </w:r>
      <w:r>
        <w:rPr>
          <w:rFonts w:hint="eastAsia" w:ascii="仿宋_GB2312" w:hAnsi="宋体" w:eastAsia="仿宋_GB2312" w:cs="宋体"/>
          <w:color w:val="585858"/>
          <w:kern w:val="0"/>
          <w:sz w:val="32"/>
          <w:szCs w:val="32"/>
        </w:rPr>
        <w:t>二〇二一年四月二十日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45"/>
    <w:rsid w:val="000A7D67"/>
    <w:rsid w:val="000B786C"/>
    <w:rsid w:val="001A5A22"/>
    <w:rsid w:val="005F7AFF"/>
    <w:rsid w:val="006541AE"/>
    <w:rsid w:val="007F72E3"/>
    <w:rsid w:val="00802345"/>
    <w:rsid w:val="0093030C"/>
    <w:rsid w:val="00AD0C78"/>
    <w:rsid w:val="00B57E7D"/>
    <w:rsid w:val="00D36F06"/>
    <w:rsid w:val="00E32940"/>
    <w:rsid w:val="4D184E75"/>
    <w:rsid w:val="5466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1004</Characters>
  <Lines>8</Lines>
  <Paragraphs>2</Paragraphs>
  <TotalTime>2</TotalTime>
  <ScaleCrop>false</ScaleCrop>
  <LinksUpToDate>false</LinksUpToDate>
  <CharactersWithSpaces>1177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2021-04-19T02:54:00Z</dcterms:created>
  <dc:creator>User</dc:creator>
  <cp:lastModifiedBy>笑笑妈</cp:lastModifiedBy>
  <cp:lastPrinted>2021-04-12T05:51:00Z</cp:lastPrinted>
  <dcterms:modified xsi:type="dcterms:W3CDTF">2021-04-19T05:02:22Z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