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F8EF" w14:textId="5F120883" w:rsidR="003C6C3B" w:rsidRDefault="003C6C3B" w:rsidP="003C6C3B">
      <w:pPr>
        <w:widowControl/>
        <w:jc w:val="center"/>
        <w:rPr>
          <w:rFonts w:ascii="Segoe UI" w:eastAsia="宋体" w:hAnsi="Segoe UI" w:cs="Segoe UI"/>
          <w:color w:val="333333"/>
          <w:spacing w:val="-12"/>
          <w:kern w:val="0"/>
          <w:sz w:val="24"/>
          <w:szCs w:val="24"/>
          <w14:ligatures w14:val="none"/>
        </w:rPr>
      </w:pPr>
      <w:r>
        <w:rPr>
          <w:rFonts w:ascii="方正小标宋简体" w:eastAsia="方正小标宋简体" w:hAnsi="Segoe UI" w:cs="Segoe UI" w:hint="eastAsia"/>
          <w:b/>
          <w:bCs/>
          <w:color w:val="333333"/>
          <w:spacing w:val="-12"/>
          <w:kern w:val="0"/>
          <w:sz w:val="32"/>
          <w:szCs w:val="32"/>
          <w14:ligatures w14:val="none"/>
        </w:rPr>
        <w:t>首届上海市大学生风险管理与保险创新创意大赛</w:t>
      </w:r>
      <w:r w:rsidR="004978D5">
        <w:rPr>
          <w:rFonts w:ascii="方正小标宋简体" w:eastAsia="方正小标宋简体" w:hAnsi="Segoe UI" w:cs="Segoe UI" w:hint="eastAsia"/>
          <w:b/>
          <w:bCs/>
          <w:color w:val="333333"/>
          <w:spacing w:val="-12"/>
          <w:kern w:val="0"/>
          <w:sz w:val="32"/>
          <w:szCs w:val="32"/>
          <w14:ligatures w14:val="none"/>
        </w:rPr>
        <w:t>通知</w:t>
      </w:r>
    </w:p>
    <w:p w14:paraId="51082E35" w14:textId="51DD665A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2023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年，中央金融工作会议提出了加快建设金融强国的宏伟目标，并强调了五篇大文章的重要性，为推动金融高质量发展提供了根本遵循和行动指南。为进一步加强应用型保险人才的培养，激发广大青年大学生的创新意识与实践能力，促进保险行业和高等院校的合作交流，拓宽保险创新发展思路，</w:t>
      </w:r>
      <w:r w:rsidR="00BC73D1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在上海市</w:t>
      </w:r>
      <w:r w:rsidR="002D1CD0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保险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学会</w:t>
      </w:r>
      <w:r w:rsidR="00BC73D1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的指导下，上海立信会计金融学院</w:t>
      </w:r>
      <w:proofErr w:type="gramStart"/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联合</w:t>
      </w:r>
      <w:r w:rsidR="002D1CD0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六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校开展</w:t>
      </w:r>
      <w:proofErr w:type="gramEnd"/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首届上海市大学生风险管理与保险创新创意大赛。</w:t>
      </w:r>
    </w:p>
    <w:p w14:paraId="41E185AA" w14:textId="77777777" w:rsidR="003C6C3B" w:rsidRDefault="003C6C3B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333333"/>
          <w:kern w:val="0"/>
          <w:sz w:val="28"/>
          <w:szCs w:val="28"/>
          <w14:ligatures w14:val="none"/>
        </w:rPr>
      </w:pPr>
      <w:bookmarkStart w:id="0" w:name="_Toc160824945"/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一、组织单位</w:t>
      </w:r>
      <w:bookmarkEnd w:id="0"/>
    </w:p>
    <w:p w14:paraId="03D19F81" w14:textId="77777777" w:rsidR="003C6C3B" w:rsidRDefault="003C6C3B" w:rsidP="003C6C3B">
      <w:pPr>
        <w:widowControl/>
        <w:shd w:val="clear" w:color="auto" w:fill="FFFFFF"/>
        <w:spacing w:line="495" w:lineRule="atLeast"/>
        <w:ind w:left="556"/>
        <w:outlineLvl w:val="1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bookmarkStart w:id="1" w:name="_Toc160824946"/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（一）主办单位</w:t>
      </w:r>
      <w:bookmarkEnd w:id="1"/>
    </w:p>
    <w:p w14:paraId="1BE0DC0D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上海市保险学会</w:t>
      </w:r>
    </w:p>
    <w:p w14:paraId="1C669D71" w14:textId="77777777" w:rsidR="003C6C3B" w:rsidRDefault="003C6C3B" w:rsidP="003C6C3B">
      <w:pPr>
        <w:widowControl/>
        <w:shd w:val="clear" w:color="auto" w:fill="FFFFFF"/>
        <w:spacing w:line="495" w:lineRule="atLeast"/>
        <w:ind w:left="556"/>
        <w:outlineLvl w:val="1"/>
        <w:rPr>
          <w:rFonts w:ascii="Times New Roman" w:eastAsia="宋体" w:hAnsi="Times New Roman" w:cs="Segoe UI"/>
          <w:color w:val="000000"/>
          <w:kern w:val="0"/>
          <w:sz w:val="28"/>
          <w:szCs w:val="28"/>
          <w14:ligatures w14:val="none"/>
        </w:rPr>
      </w:pPr>
      <w:bookmarkStart w:id="2" w:name="_Toc160824947"/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（二）承办单位</w:t>
      </w:r>
      <w:bookmarkEnd w:id="2"/>
    </w:p>
    <w:p w14:paraId="27B2ACCD" w14:textId="642A76D1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上海市保险学会精算专委会；上海立信会计金融学院、复旦大学、华东师范大学、上海财经大学、华东政法大学、上海对外经贸大学、上海外国语大学等</w:t>
      </w:r>
    </w:p>
    <w:p w14:paraId="0C9C0985" w14:textId="77777777" w:rsidR="003C6C3B" w:rsidRDefault="003C6C3B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000000"/>
          <w:kern w:val="0"/>
          <w:sz w:val="28"/>
          <w:szCs w:val="28"/>
          <w14:ligatures w14:val="none"/>
        </w:rPr>
      </w:pPr>
      <w:bookmarkStart w:id="3" w:name="_Toc160824948"/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二、参赛方式</w:t>
      </w:r>
      <w:bookmarkEnd w:id="3"/>
    </w:p>
    <w:p w14:paraId="5925ED03" w14:textId="77777777" w:rsidR="003C6C3B" w:rsidRDefault="003C6C3B" w:rsidP="003C6C3B">
      <w:pPr>
        <w:widowControl/>
        <w:shd w:val="clear" w:color="auto" w:fill="FFFFFF"/>
        <w:spacing w:line="495" w:lineRule="atLeast"/>
        <w:ind w:left="556"/>
        <w:outlineLvl w:val="1"/>
        <w:rPr>
          <w:rFonts w:ascii="Times New Roman" w:eastAsia="宋体" w:hAnsi="Times New Roman" w:cs="Segoe UI"/>
          <w:color w:val="000000"/>
          <w:kern w:val="0"/>
          <w:sz w:val="28"/>
          <w:szCs w:val="28"/>
          <w14:ligatures w14:val="none"/>
        </w:rPr>
      </w:pPr>
      <w:bookmarkStart w:id="4" w:name="_Toc160824949"/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（一）参赛对象</w:t>
      </w:r>
      <w:bookmarkEnd w:id="4"/>
    </w:p>
    <w:p w14:paraId="51C51531" w14:textId="3915F5EA" w:rsidR="004043AF" w:rsidRPr="00543086" w:rsidRDefault="003C6C3B" w:rsidP="00543086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凡在校学生（包括本科生、研究生）均可报名参赛</w:t>
      </w:r>
      <w:r w:rsidR="00543086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，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鼓励跨年级、跨专业、跨学院组队</w:t>
      </w:r>
      <w:r w:rsidR="00543086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。</w:t>
      </w:r>
    </w:p>
    <w:p w14:paraId="3943F630" w14:textId="77777777" w:rsidR="003C6C3B" w:rsidRDefault="003C6C3B" w:rsidP="003C6C3B">
      <w:pPr>
        <w:widowControl/>
        <w:shd w:val="clear" w:color="auto" w:fill="FFFFFF"/>
        <w:spacing w:line="495" w:lineRule="atLeast"/>
        <w:ind w:left="556"/>
        <w:outlineLvl w:val="1"/>
        <w:rPr>
          <w:rFonts w:ascii="Times New Roman" w:eastAsia="宋体" w:hAnsi="Times New Roman" w:cs="Segoe UI"/>
          <w:color w:val="000000"/>
          <w:kern w:val="0"/>
          <w:sz w:val="28"/>
          <w:szCs w:val="28"/>
          <w14:ligatures w14:val="none"/>
        </w:rPr>
      </w:pPr>
      <w:bookmarkStart w:id="5" w:name="_Toc160824950"/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（二）参赛方式</w:t>
      </w:r>
      <w:bookmarkEnd w:id="5"/>
    </w:p>
    <w:p w14:paraId="7F485664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lastRenderedPageBreak/>
        <w:t>初赛环节，每所学校参赛队伍数量不限，采取自主报名，学校选拔推荐的方式开展。每支队伍学生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14:ligatures w14:val="none"/>
        </w:rPr>
        <w:t>3-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14:ligatures w14:val="none"/>
        </w:rPr>
        <w:t>5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人，每支队伍指导教师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14:ligatures w14:val="none"/>
        </w:rPr>
        <w:t>0-2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人，提交作品数量限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1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份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。</w:t>
      </w:r>
    </w:p>
    <w:p w14:paraId="15273B0F" w14:textId="198B0E62" w:rsidR="003C6C3B" w:rsidRDefault="003C6C3B" w:rsidP="003C6C3B">
      <w:pPr>
        <w:shd w:val="clear" w:color="auto" w:fill="FFFFFF"/>
        <w:spacing w:line="495" w:lineRule="atLeast"/>
        <w:ind w:firstLine="646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决赛环节，各高校决出的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1</w:t>
      </w:r>
      <w:r w:rsidR="002D1CD0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-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2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支队伍参赛。现场论辩环节，每队仅可派队中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14:ligatures w14:val="none"/>
        </w:rPr>
        <w:t>3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名学生上场比赛。</w:t>
      </w:r>
      <w:bookmarkStart w:id="6" w:name="_Toc160824951"/>
    </w:p>
    <w:p w14:paraId="1D116453" w14:textId="77777777" w:rsidR="003C6C3B" w:rsidRDefault="003C6C3B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三、赛程赛制</w:t>
      </w:r>
      <w:bookmarkEnd w:id="6"/>
    </w:p>
    <w:p w14:paraId="3F428EA2" w14:textId="77777777" w:rsidR="003C6C3B" w:rsidRDefault="003C6C3B" w:rsidP="003C6C3B">
      <w:pPr>
        <w:widowControl/>
        <w:shd w:val="clear" w:color="auto" w:fill="FFFFFF"/>
        <w:spacing w:line="495" w:lineRule="atLeast"/>
        <w:ind w:firstLine="55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上海市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大学生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风险管理与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保险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创新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创意大赛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每年举办一届，由各高校轮流承办。大赛分为初赛和决赛两个阶段。</w:t>
      </w:r>
    </w:p>
    <w:p w14:paraId="7766A574" w14:textId="77777777" w:rsidR="003C6C3B" w:rsidRDefault="003C6C3B" w:rsidP="003C6C3B">
      <w:pPr>
        <w:widowControl/>
        <w:shd w:val="clear" w:color="auto" w:fill="FFFFFF"/>
        <w:spacing w:line="495" w:lineRule="atLeast"/>
        <w:ind w:left="556"/>
        <w:outlineLvl w:val="1"/>
        <w:rPr>
          <w:rFonts w:ascii="Times New Roman" w:eastAsia="宋体" w:hAnsi="Times New Roman" w:cs="Segoe UI"/>
          <w:color w:val="000000"/>
          <w:kern w:val="0"/>
          <w:sz w:val="28"/>
          <w:szCs w:val="28"/>
          <w14:ligatures w14:val="none"/>
        </w:rPr>
      </w:pPr>
      <w:bookmarkStart w:id="7" w:name="_Toc160824952"/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（一）初赛阶段</w:t>
      </w:r>
      <w:bookmarkEnd w:id="7"/>
    </w:p>
    <w:p w14:paraId="37E653B8" w14:textId="77777777" w:rsidR="003C6C3B" w:rsidRDefault="003C6C3B" w:rsidP="003C6C3B">
      <w:pPr>
        <w:widowControl/>
        <w:shd w:val="clear" w:color="auto" w:fill="FFFFFF"/>
        <w:spacing w:line="495" w:lineRule="atLeast"/>
        <w:ind w:firstLine="55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参赛团队在选题范围内自主确定作品方向，通过实地调研等方式发现实际风险问题，结合专业理论，提出解决方案。</w:t>
      </w:r>
    </w:p>
    <w:p w14:paraId="1A2687FF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初赛采取校内评选的形式，各高校依据本校参赛情况，组织评委对参赛团队提交的作品进行评审，选出入围决赛的团队及作品。</w:t>
      </w:r>
    </w:p>
    <w:p w14:paraId="533C066C" w14:textId="77777777" w:rsidR="003C6C3B" w:rsidRDefault="003C6C3B" w:rsidP="003C6C3B">
      <w:pPr>
        <w:widowControl/>
        <w:shd w:val="clear" w:color="auto" w:fill="FFFFFF"/>
        <w:spacing w:line="495" w:lineRule="atLeast"/>
        <w:ind w:left="556"/>
        <w:outlineLvl w:val="1"/>
        <w:rPr>
          <w:rFonts w:ascii="Times New Roman" w:eastAsia="宋体" w:hAnsi="Times New Roman" w:cs="Segoe UI"/>
          <w:color w:val="000000"/>
          <w:kern w:val="0"/>
          <w:sz w:val="28"/>
          <w:szCs w:val="28"/>
          <w14:ligatures w14:val="none"/>
        </w:rPr>
      </w:pPr>
      <w:bookmarkStart w:id="8" w:name="_Toc160824953"/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（二）决赛阶段</w:t>
      </w:r>
      <w:bookmarkEnd w:id="8"/>
    </w:p>
    <w:p w14:paraId="40CF2D55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入围决赛的团队现场展示作品，并进行问辩。评委对每支队伍的作品质量和现场答辩表现进行打分，确定最终名次及奖项归属。</w:t>
      </w:r>
    </w:p>
    <w:p w14:paraId="670AF662" w14:textId="77777777" w:rsidR="003C6C3B" w:rsidRDefault="003C6C3B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000000"/>
          <w:kern w:val="0"/>
          <w:sz w:val="28"/>
          <w:szCs w:val="28"/>
          <w14:ligatures w14:val="none"/>
        </w:rPr>
      </w:pPr>
      <w:bookmarkStart w:id="9" w:name="_Toc160824954"/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四、选题方向</w:t>
      </w:r>
      <w:bookmarkEnd w:id="9"/>
    </w:p>
    <w:p w14:paraId="491CD164" w14:textId="77777777" w:rsidR="00672077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本次大赛</w:t>
      </w:r>
      <w:r w:rsidR="00543086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采用自拟与规定命题两种选题方式，</w:t>
      </w:r>
      <w:r w:rsid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参赛团队自行选择一种方式进行选题。</w:t>
      </w:r>
    </w:p>
    <w:p w14:paraId="101E9E52" w14:textId="7173E5D2" w:rsidR="00672077" w:rsidRPr="00672077" w:rsidRDefault="00672077" w:rsidP="00672077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（一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）</w:t>
      </w:r>
      <w:r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自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主</w:t>
      </w:r>
      <w:r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拟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定</w:t>
      </w:r>
    </w:p>
    <w:p w14:paraId="126F7785" w14:textId="64BB852D" w:rsidR="00672077" w:rsidRDefault="00672077" w:rsidP="00672077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参赛团队可以依据保险行业现实需求，并结合自身理论学习，</w:t>
      </w:r>
      <w:r w:rsidR="00543086"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拟定参赛题目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，</w:t>
      </w:r>
      <w:r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进行实地调研与作品创作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。</w:t>
      </w:r>
    </w:p>
    <w:p w14:paraId="5C08E0E2" w14:textId="459C2ABA" w:rsidR="00672077" w:rsidRDefault="00672077" w:rsidP="00672077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lastRenderedPageBreak/>
        <w:t>（二）选择命题</w:t>
      </w:r>
    </w:p>
    <w:p w14:paraId="2A9B0C02" w14:textId="0FF9306D" w:rsidR="003C6C3B" w:rsidRPr="00672077" w:rsidRDefault="00543086" w:rsidP="00672077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大赛组委会亦会</w:t>
      </w:r>
      <w:r w:rsidR="003C6C3B"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邀请保险行业资深从业者及各高校专家老师从经济社会发展、民生保障和行业合</w:t>
      </w:r>
      <w:proofErr w:type="gramStart"/>
      <w:r w:rsidR="003C6C3B"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规</w:t>
      </w:r>
      <w:proofErr w:type="gramEnd"/>
      <w:r w:rsidR="003C6C3B"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发展的现实需求出发，制定参赛作品选题方向，参赛团队</w:t>
      </w:r>
      <w:r w:rsid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可从其</w:t>
      </w:r>
      <w:r w:rsidR="003C6C3B" w:rsidRPr="00672077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中选择相应选题进行实地调研与作品创作</w:t>
      </w:r>
      <w:r w:rsidR="007E152D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，具体选题将于</w:t>
      </w:r>
      <w:r w:rsidR="003A0ADA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后期</w:t>
      </w:r>
      <w:r w:rsidR="007E152D"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公布。</w:t>
      </w:r>
    </w:p>
    <w:p w14:paraId="19286C9D" w14:textId="77777777" w:rsidR="003C6C3B" w:rsidRDefault="003C6C3B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000000"/>
          <w:kern w:val="0"/>
          <w:sz w:val="28"/>
          <w:szCs w:val="28"/>
          <w14:ligatures w14:val="none"/>
        </w:rPr>
      </w:pPr>
      <w:bookmarkStart w:id="10" w:name="_Toc160824955"/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五、大赛流程</w:t>
      </w:r>
      <w:bookmarkEnd w:id="10"/>
    </w:p>
    <w:tbl>
      <w:tblPr>
        <w:tblpPr w:leftFromText="180" w:rightFromText="180" w:vertAnchor="text" w:horzAnchor="margin" w:tblpY="83"/>
        <w:tblW w:w="83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933"/>
        <w:gridCol w:w="3492"/>
        <w:gridCol w:w="3119"/>
      </w:tblGrid>
      <w:tr w:rsidR="003C6C3B" w14:paraId="1378BEF7" w14:textId="77777777" w:rsidTr="00081C33">
        <w:trPr>
          <w:cantSplit/>
          <w:trHeight w:val="510"/>
        </w:trPr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B8C3E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Segoe UI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Segoe UI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阶段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FEBC3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Segoe UI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Segoe UI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时间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44506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Segoe UI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Segoe UI" w:hint="eastAsi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事项</w:t>
            </w:r>
          </w:p>
        </w:tc>
      </w:tr>
      <w:tr w:rsidR="003C6C3B" w14:paraId="7FC536D9" w14:textId="77777777" w:rsidTr="00081C33">
        <w:trPr>
          <w:cantSplit/>
          <w:trHeight w:val="510"/>
        </w:trPr>
        <w:tc>
          <w:tcPr>
            <w:tcW w:w="17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2BDA9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预报名</w:t>
            </w:r>
          </w:p>
        </w:tc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2AB27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-2024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CB7D6" w14:textId="71A75524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学生组队、</w:t>
            </w:r>
            <w:r w:rsidR="00A74B33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报名（填写报名链接）</w:t>
            </w:r>
          </w:p>
        </w:tc>
      </w:tr>
      <w:tr w:rsidR="003C6C3B" w14:paraId="1DA91479" w14:textId="77777777" w:rsidTr="00081C33">
        <w:trPr>
          <w:cantSplit/>
          <w:trHeight w:val="510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6262F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初赛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3B383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作品</w:t>
            </w:r>
          </w:p>
          <w:p w14:paraId="648A8BA5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创作</w:t>
            </w:r>
          </w:p>
        </w:tc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C17E0" w14:textId="04A5899B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 w:rsidR="007E152D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-2024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CB88" w14:textId="4DE82AA3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参赛团队进行创作并提交</w:t>
            </w:r>
            <w:r w:rsidR="00A74B33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项目申报书（附件</w:t>
            </w:r>
            <w:r w:rsidR="00A74B33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 w:rsidR="00A74B33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）、项目作品</w:t>
            </w:r>
            <w:r w:rsidR="00516A16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（要求见附件</w:t>
            </w:r>
            <w:r w:rsidR="00516A16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</w:t>
            </w:r>
            <w:r w:rsidR="00516A16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）</w:t>
            </w:r>
            <w:r w:rsidR="00A74B33"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及相关材料</w:t>
            </w:r>
          </w:p>
        </w:tc>
      </w:tr>
      <w:tr w:rsidR="003C6C3B" w14:paraId="2226A15E" w14:textId="77777777" w:rsidTr="00081C33">
        <w:trPr>
          <w:cantSplit/>
          <w:trHeight w:val="510"/>
        </w:trPr>
        <w:tc>
          <w:tcPr>
            <w:tcW w:w="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3275E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A30F2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作品</w:t>
            </w:r>
          </w:p>
          <w:p w14:paraId="148467B1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评审</w:t>
            </w:r>
          </w:p>
        </w:tc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AB87C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435F5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各高校自行组织评审</w:t>
            </w:r>
          </w:p>
        </w:tc>
      </w:tr>
      <w:tr w:rsidR="003C6C3B" w14:paraId="056434BD" w14:textId="77777777" w:rsidTr="00081C33">
        <w:trPr>
          <w:cantSplit/>
          <w:trHeight w:val="510"/>
        </w:trPr>
        <w:tc>
          <w:tcPr>
            <w:tcW w:w="17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950D1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决赛及颁奖</w:t>
            </w:r>
          </w:p>
        </w:tc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E3F36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-2024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BD9EE" w14:textId="77777777" w:rsidR="003C6C3B" w:rsidRDefault="003C6C3B" w:rsidP="00081C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  <w14:ligatures w14:val="none"/>
              </w:rPr>
              <w:t>作品答辩及颁奖</w:t>
            </w:r>
          </w:p>
        </w:tc>
      </w:tr>
    </w:tbl>
    <w:p w14:paraId="69DD479B" w14:textId="5A075CE3" w:rsidR="003A0ADA" w:rsidRDefault="004978D5" w:rsidP="00A74B33">
      <w:pPr>
        <w:widowControl/>
        <w:shd w:val="clear" w:color="auto" w:fill="FFFFFF"/>
        <w:spacing w:line="495" w:lineRule="atLeast"/>
        <w:ind w:firstLine="645"/>
        <w:rPr>
          <w:rStyle w:val="a8"/>
          <w:rFonts w:ascii="Times New Roman" w:eastAsia="宋体" w:hAnsi="Times New Roman" w:cs="Segoe UI"/>
          <w:color w:val="auto"/>
          <w:kern w:val="0"/>
          <w:sz w:val="28"/>
          <w:szCs w:val="28"/>
          <w14:ligatures w14:val="none"/>
        </w:rPr>
      </w:pPr>
      <w:bookmarkStart w:id="11" w:name="_Toc160824956"/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报名链接：</w:t>
      </w:r>
      <w:hyperlink r:id="rId7" w:history="1">
        <w:r w:rsidRPr="004978D5">
          <w:rPr>
            <w:rStyle w:val="a8"/>
            <w:rFonts w:ascii="Times New Roman" w:eastAsia="宋体" w:hAnsi="Times New Roman" w:cs="Segoe UI" w:hint="eastAsia"/>
            <w:color w:val="auto"/>
            <w:kern w:val="0"/>
            <w:sz w:val="28"/>
            <w:szCs w:val="28"/>
            <w14:ligatures w14:val="none"/>
          </w:rPr>
          <w:t>https://www.wjx.cn/vm/wF32dng.aspx#</w:t>
        </w:r>
      </w:hyperlink>
    </w:p>
    <w:p w14:paraId="6D5E126F" w14:textId="77777777" w:rsidR="003E04F9" w:rsidRDefault="003E04F9" w:rsidP="00A74B33">
      <w:pPr>
        <w:widowControl/>
        <w:shd w:val="clear" w:color="auto" w:fill="FFFFFF"/>
        <w:spacing w:line="495" w:lineRule="atLeast"/>
        <w:ind w:firstLine="645"/>
        <w:rPr>
          <w:rStyle w:val="a8"/>
          <w:rFonts w:ascii="Times New Roman" w:eastAsia="宋体" w:hAnsi="Times New Roman" w:cs="Segoe UI"/>
          <w:color w:val="auto"/>
          <w:kern w:val="0"/>
          <w:sz w:val="28"/>
          <w:szCs w:val="28"/>
          <w:u w:val="none"/>
          <w14:ligatures w14:val="none"/>
        </w:rPr>
      </w:pPr>
      <w:r w:rsidRPr="003E04F9">
        <w:rPr>
          <w:rStyle w:val="a8"/>
          <w:rFonts w:ascii="Times New Roman" w:eastAsia="宋体" w:hAnsi="Times New Roman" w:cs="Segoe UI" w:hint="eastAsia"/>
          <w:color w:val="auto"/>
          <w:kern w:val="0"/>
          <w:sz w:val="28"/>
          <w:szCs w:val="28"/>
          <w:u w:val="none"/>
          <w14:ligatures w14:val="none"/>
        </w:rPr>
        <w:t>附件链接：</w:t>
      </w:r>
    </w:p>
    <w:p w14:paraId="15889B9D" w14:textId="5C9F7BD2" w:rsidR="003E04F9" w:rsidRPr="004978D5" w:rsidRDefault="003E04F9" w:rsidP="00A74B33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kern w:val="0"/>
          <w:sz w:val="28"/>
          <w:szCs w:val="28"/>
          <w14:ligatures w14:val="none"/>
        </w:rPr>
      </w:pPr>
      <w:r w:rsidRPr="003E04F9">
        <w:rPr>
          <w:rStyle w:val="a8"/>
          <w:rFonts w:ascii="Times New Roman" w:eastAsia="宋体" w:hAnsi="Times New Roman" w:cs="Segoe UI"/>
          <w:color w:val="auto"/>
          <w:kern w:val="0"/>
          <w:sz w:val="28"/>
          <w:szCs w:val="28"/>
          <w14:ligatures w14:val="none"/>
        </w:rPr>
        <w:t>https://pan.baidu.com/share/init?surl=wsn30wYM9iIHcnxtBCeUfw&amp;pwd=s172</w:t>
      </w:r>
    </w:p>
    <w:p w14:paraId="5CD9F9BE" w14:textId="77777777" w:rsidR="004978D5" w:rsidRPr="004978D5" w:rsidRDefault="004978D5" w:rsidP="004978D5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kern w:val="0"/>
          <w:sz w:val="28"/>
          <w:szCs w:val="28"/>
          <w14:ligatures w14:val="none"/>
        </w:rPr>
      </w:pP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参赛作品请各负责人以压缩包形式，于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2024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年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8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月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31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日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16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：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00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前提交至保险学院学科部邮箱（</w:t>
      </w:r>
      <w:r w:rsidRPr="003E04F9">
        <w:rPr>
          <w:rFonts w:ascii="Times New Roman" w:eastAsia="宋体" w:hAnsi="Times New Roman" w:cs="Segoe UI" w:hint="eastAsia"/>
          <w:kern w:val="0"/>
          <w:sz w:val="28"/>
          <w:szCs w:val="28"/>
          <w:u w:val="single"/>
          <w14:ligatures w14:val="none"/>
        </w:rPr>
        <w:t>bxxyxskjb@163.com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），邮件主题为：风险管理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-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学院名称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-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项目名称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-</w:t>
      </w:r>
      <w:r w:rsidRPr="004978D5">
        <w:rPr>
          <w:rFonts w:ascii="Times New Roman" w:eastAsia="宋体" w:hAnsi="Times New Roman" w:cs="Segoe UI" w:hint="eastAsia"/>
          <w:kern w:val="0"/>
          <w:sz w:val="28"/>
          <w:szCs w:val="28"/>
          <w14:ligatures w14:val="none"/>
        </w:rPr>
        <w:t>负责人姓名。</w:t>
      </w:r>
    </w:p>
    <w:p w14:paraId="7047EFC1" w14:textId="0679B844" w:rsidR="003C6C3B" w:rsidRDefault="00A74B33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六、奖项设置</w:t>
      </w:r>
      <w:bookmarkEnd w:id="11"/>
    </w:p>
    <w:p w14:paraId="12C5A8B1" w14:textId="6DFE1913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lastRenderedPageBreak/>
        <w:t>本次大赛</w:t>
      </w:r>
      <w:r w:rsidR="007E152D"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暂定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设立一等奖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5000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元（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1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队）、二等奖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3000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元（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2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队）、三等奖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2000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元（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3</w:t>
      </w:r>
      <w:r>
        <w:rPr>
          <w:rFonts w:ascii="Times New Roman" w:eastAsia="宋体" w:hAnsi="Times New Roman" w:cs="Segoe UI" w:hint="eastAsia"/>
          <w:color w:val="000000"/>
          <w:kern w:val="0"/>
          <w:sz w:val="28"/>
          <w:szCs w:val="28"/>
          <w14:ligatures w14:val="none"/>
        </w:rPr>
        <w:t>队），由上海市保险学会颁发获奖证书。</w:t>
      </w:r>
    </w:p>
    <w:p w14:paraId="37840CD7" w14:textId="0744F644" w:rsidR="003C6C3B" w:rsidRDefault="0086162E" w:rsidP="003C6C3B">
      <w:pPr>
        <w:widowControl/>
        <w:shd w:val="clear" w:color="auto" w:fill="FFFFFF"/>
        <w:spacing w:line="555" w:lineRule="atLeast"/>
        <w:ind w:firstLine="646"/>
        <w:outlineLvl w:val="0"/>
        <w:rPr>
          <w:rFonts w:ascii="Times New Roman" w:eastAsia="宋体" w:hAnsi="Times New Roman" w:cs="Segoe UI"/>
          <w:b/>
          <w:bCs/>
          <w:color w:val="000000"/>
          <w:kern w:val="0"/>
          <w:sz w:val="28"/>
          <w:szCs w:val="28"/>
          <w14:ligatures w14:val="none"/>
        </w:rPr>
      </w:pPr>
      <w:bookmarkStart w:id="12" w:name="_Toc160824961"/>
      <w:r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七</w:t>
      </w:r>
      <w:r w:rsidR="003C6C3B"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、其他</w:t>
      </w:r>
      <w:bookmarkEnd w:id="12"/>
      <w:r w:rsidR="003C6C3B">
        <w:rPr>
          <w:rFonts w:ascii="Times New Roman" w:eastAsia="宋体" w:hAnsi="Times New Roman" w:cs="Segoe UI" w:hint="eastAsia"/>
          <w:b/>
          <w:bCs/>
          <w:color w:val="000000"/>
          <w:kern w:val="0"/>
          <w:sz w:val="28"/>
          <w:szCs w:val="28"/>
          <w14:ligatures w14:val="none"/>
        </w:rPr>
        <w:t>说明</w:t>
      </w:r>
    </w:p>
    <w:p w14:paraId="5FED5597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（一）作品大方向为“风险问题的解决方案”，创新创意不限于产品创新，也可是营销、服务、科技、合</w:t>
      </w:r>
      <w:proofErr w:type="gramStart"/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规</w:t>
      </w:r>
      <w:proofErr w:type="gramEnd"/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等保险经营的任何方面。希望参赛团队理论联系实际，从经济社会发展、民生保障和行业发展的现实需求出发，进行作品创作。</w:t>
      </w:r>
    </w:p>
    <w:p w14:paraId="2EF9789E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（二）鼓励参赛团队围绕选题进行实地调研，通过调查访谈等方式，系统收集一手资料，剖析市场现状及痛点，为作品设计打磨奠定基础。</w:t>
      </w:r>
    </w:p>
    <w:p w14:paraId="7A499F6D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（三）参赛作品的文本重复率不得超过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10%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（去除引用部分后），检测结果以</w:t>
      </w:r>
      <w:r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  <w:t>CNKI</w:t>
      </w: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学术不端文献检测系统检测结果为准。</w:t>
      </w:r>
    </w:p>
    <w:p w14:paraId="75760457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（四）参赛人承诺并保证：参赛作品不侵犯他人著作权、专利权、商标权或其他知识产权，不侵犯他人合法权益，不违反法律法规。</w:t>
      </w:r>
      <w:proofErr w:type="gramStart"/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若参</w:t>
      </w:r>
      <w:proofErr w:type="gramEnd"/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赛作品有侵权纠纷，参赛人自行解决并承担由此产生的法律责任。</w:t>
      </w:r>
    </w:p>
    <w:p w14:paraId="4B91859A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（五）最终作品由保险学会汇编，印刷成册，作为学会作品。</w:t>
      </w:r>
    </w:p>
    <w:p w14:paraId="28BF327F" w14:textId="77777777" w:rsidR="003C6C3B" w:rsidRDefault="003C6C3B" w:rsidP="003C6C3B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（六）获奖者可获得在就业方面的推荐。</w:t>
      </w:r>
    </w:p>
    <w:p w14:paraId="7B400219" w14:textId="619D8319" w:rsidR="003E04F9" w:rsidRPr="003E04F9" w:rsidRDefault="003C6C3B" w:rsidP="003E04F9">
      <w:pPr>
        <w:widowControl/>
        <w:shd w:val="clear" w:color="auto" w:fill="FFFFFF"/>
        <w:spacing w:line="495" w:lineRule="atLeast"/>
        <w:ind w:firstLine="645"/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Segoe UI" w:hint="eastAsia"/>
          <w:color w:val="333333"/>
          <w:kern w:val="0"/>
          <w:sz w:val="28"/>
          <w:szCs w:val="28"/>
          <w14:ligatures w14:val="none"/>
        </w:rPr>
        <w:t>（七）对本规则及其附件产生的任何疑义，大赛主办方保留最终解释权。</w:t>
      </w:r>
    </w:p>
    <w:p w14:paraId="3F53965F" w14:textId="4CBEF155" w:rsidR="00A74B33" w:rsidRDefault="00A74B33">
      <w:pPr>
        <w:widowControl/>
        <w:jc w:val="left"/>
      </w:pPr>
    </w:p>
    <w:sectPr w:rsidR="00A74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3990" w14:textId="77777777" w:rsidR="002A31FE" w:rsidRDefault="002A31FE" w:rsidP="003C6C3B">
      <w:r>
        <w:separator/>
      </w:r>
    </w:p>
  </w:endnote>
  <w:endnote w:type="continuationSeparator" w:id="0">
    <w:p w14:paraId="35BD6F53" w14:textId="77777777" w:rsidR="002A31FE" w:rsidRDefault="002A31FE" w:rsidP="003C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DA61" w14:textId="77777777" w:rsidR="002A31FE" w:rsidRDefault="002A31FE" w:rsidP="003C6C3B">
      <w:r>
        <w:separator/>
      </w:r>
    </w:p>
  </w:footnote>
  <w:footnote w:type="continuationSeparator" w:id="0">
    <w:p w14:paraId="0434A20D" w14:textId="77777777" w:rsidR="002A31FE" w:rsidRDefault="002A31FE" w:rsidP="003C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4B65"/>
    <w:multiLevelType w:val="hybridMultilevel"/>
    <w:tmpl w:val="72744D26"/>
    <w:lvl w:ilvl="0" w:tplc="185E4CB6">
      <w:start w:val="1"/>
      <w:numFmt w:val="japaneseCounting"/>
      <w:lvlText w:val="（%1）"/>
      <w:lvlJc w:val="left"/>
      <w:pPr>
        <w:ind w:left="150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" w15:restartNumberingAfterBreak="0">
    <w:nsid w:val="5A347063"/>
    <w:multiLevelType w:val="singleLevel"/>
    <w:tmpl w:val="5A347063"/>
    <w:lvl w:ilvl="0">
      <w:start w:val="1"/>
      <w:numFmt w:val="bullet"/>
      <w:lvlText w:val="▪"/>
      <w:lvlJc w:val="left"/>
      <w:pPr>
        <w:ind w:left="420" w:hanging="420"/>
      </w:pPr>
      <w:rPr>
        <w:rFonts w:ascii="微软雅黑" w:eastAsia="微软雅黑" w:hAnsi="微软雅黑" w:cs="微软雅黑" w:hint="default"/>
      </w:rPr>
    </w:lvl>
  </w:abstractNum>
  <w:num w:numId="1" w16cid:durableId="549420881">
    <w:abstractNumId w:val="0"/>
  </w:num>
  <w:num w:numId="2" w16cid:durableId="31256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6B"/>
    <w:rsid w:val="002A31FE"/>
    <w:rsid w:val="002D1CD0"/>
    <w:rsid w:val="003A0ADA"/>
    <w:rsid w:val="003C6C3B"/>
    <w:rsid w:val="003E04F9"/>
    <w:rsid w:val="004043AF"/>
    <w:rsid w:val="004978D5"/>
    <w:rsid w:val="004E6BD2"/>
    <w:rsid w:val="00516A16"/>
    <w:rsid w:val="00543086"/>
    <w:rsid w:val="006513EA"/>
    <w:rsid w:val="00672077"/>
    <w:rsid w:val="007E152D"/>
    <w:rsid w:val="0086162E"/>
    <w:rsid w:val="00A27E61"/>
    <w:rsid w:val="00A4195D"/>
    <w:rsid w:val="00A74B33"/>
    <w:rsid w:val="00BC506B"/>
    <w:rsid w:val="00BC73D1"/>
    <w:rsid w:val="00D7731B"/>
    <w:rsid w:val="00DC4C25"/>
    <w:rsid w:val="00E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7748"/>
  <w15:chartTrackingRefBased/>
  <w15:docId w15:val="{B124D47D-E194-4364-8582-1FB86B1D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C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C3B"/>
    <w:rPr>
      <w:sz w:val="18"/>
      <w:szCs w:val="18"/>
    </w:rPr>
  </w:style>
  <w:style w:type="paragraph" w:styleId="a7">
    <w:name w:val="List Paragraph"/>
    <w:basedOn w:val="a"/>
    <w:uiPriority w:val="34"/>
    <w:qFormat/>
    <w:rsid w:val="0067207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978D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7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jx.cn/vm/wF32d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小昱 张</dc:creator>
  <cp:keywords/>
  <dc:description/>
  <cp:lastModifiedBy>小昱 张</cp:lastModifiedBy>
  <cp:revision>10</cp:revision>
  <dcterms:created xsi:type="dcterms:W3CDTF">2024-04-17T05:54:00Z</dcterms:created>
  <dcterms:modified xsi:type="dcterms:W3CDTF">2024-04-22T05:01:00Z</dcterms:modified>
</cp:coreProperties>
</file>